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5631" w:rsidRDefault="00F55631" w:rsidP="00BD35A7">
      <w:pPr>
        <w:spacing w:after="240"/>
        <w:jc w:val="center"/>
        <w:rPr>
          <w:b/>
          <w:color w:val="auto"/>
        </w:rPr>
      </w:pPr>
      <w:bookmarkStart w:id="0" w:name="_GoBack"/>
      <w:bookmarkEnd w:id="0"/>
      <w:r w:rsidRPr="00BC1086">
        <w:rPr>
          <w:b/>
          <w:color w:val="auto"/>
        </w:rPr>
        <w:t>STATEMENT OF REQUIREMENT</w:t>
      </w:r>
    </w:p>
    <w:p w:rsidR="00BD35A7" w:rsidRPr="00BD35A7" w:rsidRDefault="00BD35A7" w:rsidP="00BD35A7">
      <w:pPr>
        <w:spacing w:after="240"/>
        <w:jc w:val="center"/>
        <w:rPr>
          <w:b/>
          <w:color w:val="auto"/>
        </w:rPr>
      </w:pPr>
      <w:r w:rsidRPr="00BD35A7">
        <w:rPr>
          <w:b/>
          <w:color w:val="auto"/>
        </w:rPr>
        <w:t>SUPPLY INSTALLATION COMMISSION AND MAINTENANCE OF LOAD BANK AND SWITCH GEAR FOR DIESEL GENERATOR AT HMS SULTAN</w:t>
      </w:r>
    </w:p>
    <w:p w:rsidR="00F55631" w:rsidRPr="00905EAF" w:rsidRDefault="00F55631" w:rsidP="00F55631">
      <w:pPr>
        <w:tabs>
          <w:tab w:val="left" w:pos="567"/>
        </w:tabs>
        <w:spacing w:after="240"/>
        <w:rPr>
          <w:b/>
          <w:noProof/>
          <w:color w:val="auto"/>
        </w:rPr>
      </w:pPr>
      <w:r w:rsidRPr="00905EAF">
        <w:rPr>
          <w:b/>
          <w:noProof/>
          <w:color w:val="auto"/>
        </w:rPr>
        <w:t>Introduction</w:t>
      </w:r>
    </w:p>
    <w:p w:rsidR="00F55631" w:rsidRPr="00905EAF" w:rsidRDefault="00F55631" w:rsidP="00F55631">
      <w:pPr>
        <w:pStyle w:val="ListParagraph"/>
        <w:widowControl/>
        <w:numPr>
          <w:ilvl w:val="0"/>
          <w:numId w:val="1"/>
        </w:numPr>
        <w:tabs>
          <w:tab w:val="left" w:pos="567"/>
        </w:tabs>
        <w:overflowPunct w:val="0"/>
        <w:autoSpaceDE w:val="0"/>
        <w:autoSpaceDN w:val="0"/>
        <w:adjustRightInd w:val="0"/>
        <w:spacing w:after="240"/>
        <w:textAlignment w:val="baseline"/>
        <w:rPr>
          <w:rFonts w:ascii="Arial" w:hAnsi="Arial"/>
          <w:color w:val="auto"/>
        </w:rPr>
      </w:pPr>
      <w:r w:rsidRPr="00905EAF">
        <w:rPr>
          <w:rFonts w:ascii="Arial" w:hAnsi="Arial"/>
          <w:color w:val="auto"/>
        </w:rPr>
        <w:t xml:space="preserve">This Statement of Requirement (SOR) stipulates </w:t>
      </w:r>
      <w:proofErr w:type="spellStart"/>
      <w:r w:rsidRPr="00905EAF">
        <w:rPr>
          <w:rFonts w:ascii="Arial" w:hAnsi="Arial"/>
          <w:color w:val="auto"/>
        </w:rPr>
        <w:t>Defence</w:t>
      </w:r>
      <w:proofErr w:type="spellEnd"/>
      <w:r w:rsidRPr="00905EAF">
        <w:rPr>
          <w:rFonts w:ascii="Arial" w:hAnsi="Arial"/>
          <w:color w:val="auto"/>
        </w:rPr>
        <w:t xml:space="preserve"> School of Marine Engineering’s (</w:t>
      </w:r>
      <w:proofErr w:type="spellStart"/>
      <w:r w:rsidRPr="00905EAF">
        <w:rPr>
          <w:rFonts w:ascii="Arial" w:hAnsi="Arial"/>
          <w:color w:val="auto"/>
        </w:rPr>
        <w:t>DSMarE’s</w:t>
      </w:r>
      <w:proofErr w:type="spellEnd"/>
      <w:r w:rsidRPr="00905EAF">
        <w:rPr>
          <w:rFonts w:ascii="Arial" w:hAnsi="Arial"/>
          <w:color w:val="auto"/>
        </w:rPr>
        <w:t>) requirements for a load bank.</w:t>
      </w:r>
    </w:p>
    <w:p w:rsidR="00F55631" w:rsidRPr="00905EAF" w:rsidRDefault="00F55631" w:rsidP="00F55631">
      <w:pPr>
        <w:pStyle w:val="ListParagraph"/>
        <w:widowControl/>
        <w:numPr>
          <w:ilvl w:val="0"/>
          <w:numId w:val="1"/>
        </w:numPr>
        <w:tabs>
          <w:tab w:val="left" w:pos="567"/>
        </w:tabs>
        <w:overflowPunct w:val="0"/>
        <w:autoSpaceDE w:val="0"/>
        <w:autoSpaceDN w:val="0"/>
        <w:adjustRightInd w:val="0"/>
        <w:spacing w:after="240"/>
        <w:textAlignment w:val="baseline"/>
        <w:rPr>
          <w:rFonts w:ascii="Arial" w:hAnsi="Arial"/>
          <w:color w:val="auto"/>
        </w:rPr>
      </w:pPr>
      <w:r w:rsidRPr="00905EAF">
        <w:rPr>
          <w:rFonts w:ascii="Arial" w:hAnsi="Arial"/>
          <w:color w:val="auto"/>
        </w:rPr>
        <w:t>This SOR addresses the requirement to replace the existing load bank</w:t>
      </w:r>
      <w:r>
        <w:rPr>
          <w:rFonts w:ascii="Arial" w:hAnsi="Arial"/>
          <w:color w:val="auto"/>
        </w:rPr>
        <w:t xml:space="preserve"> and switchgear</w:t>
      </w:r>
      <w:r w:rsidRPr="00905EAF">
        <w:rPr>
          <w:rFonts w:ascii="Arial" w:hAnsi="Arial"/>
          <w:color w:val="auto"/>
        </w:rPr>
        <w:t xml:space="preserve"> to support </w:t>
      </w:r>
      <w:r w:rsidR="00F00D7C">
        <w:rPr>
          <w:rFonts w:ascii="Arial" w:hAnsi="Arial"/>
          <w:color w:val="auto"/>
        </w:rPr>
        <w:t>Marine E</w:t>
      </w:r>
      <w:r w:rsidR="00BA5D69">
        <w:rPr>
          <w:rFonts w:ascii="Arial" w:hAnsi="Arial"/>
          <w:color w:val="auto"/>
        </w:rPr>
        <w:t>ngineer (</w:t>
      </w:r>
      <w:r w:rsidRPr="00905EAF">
        <w:rPr>
          <w:rFonts w:ascii="Arial" w:hAnsi="Arial"/>
          <w:color w:val="auto"/>
        </w:rPr>
        <w:t>ME</w:t>
      </w:r>
      <w:r w:rsidR="00BA5D69">
        <w:rPr>
          <w:rFonts w:ascii="Arial" w:hAnsi="Arial"/>
          <w:color w:val="auto"/>
        </w:rPr>
        <w:t>)</w:t>
      </w:r>
      <w:r w:rsidRPr="00905EAF">
        <w:rPr>
          <w:rFonts w:ascii="Arial" w:hAnsi="Arial"/>
          <w:color w:val="auto"/>
        </w:rPr>
        <w:t xml:space="preserve"> operator and maintainer training in </w:t>
      </w:r>
      <w:proofErr w:type="spellStart"/>
      <w:r w:rsidRPr="00905EAF">
        <w:rPr>
          <w:rFonts w:ascii="Arial" w:hAnsi="Arial"/>
          <w:color w:val="auto"/>
        </w:rPr>
        <w:t>DSMarE</w:t>
      </w:r>
      <w:proofErr w:type="spellEnd"/>
      <w:r w:rsidRPr="00905EAF">
        <w:rPr>
          <w:rFonts w:ascii="Arial" w:hAnsi="Arial"/>
          <w:color w:val="auto"/>
        </w:rPr>
        <w:t xml:space="preserve"> so that military personnel are effectively trained in line with </w:t>
      </w:r>
      <w:proofErr w:type="spellStart"/>
      <w:r w:rsidR="00BA5D69">
        <w:rPr>
          <w:rFonts w:ascii="Arial" w:hAnsi="Arial"/>
          <w:color w:val="auto"/>
        </w:rPr>
        <w:t>thed</w:t>
      </w:r>
      <w:proofErr w:type="spellEnd"/>
      <w:r w:rsidR="00BA5D69">
        <w:rPr>
          <w:rFonts w:ascii="Arial" w:hAnsi="Arial"/>
          <w:color w:val="auto"/>
        </w:rPr>
        <w:t xml:space="preserve"> Training Requirement Authority (</w:t>
      </w:r>
      <w:r w:rsidRPr="00905EAF">
        <w:rPr>
          <w:rFonts w:ascii="Arial" w:hAnsi="Arial"/>
          <w:color w:val="auto"/>
        </w:rPr>
        <w:t>TRA</w:t>
      </w:r>
      <w:r w:rsidR="00BA5D69">
        <w:rPr>
          <w:rFonts w:ascii="Arial" w:hAnsi="Arial"/>
          <w:color w:val="auto"/>
        </w:rPr>
        <w:t>)</w:t>
      </w:r>
      <w:r w:rsidRPr="00905EAF">
        <w:rPr>
          <w:rFonts w:ascii="Arial" w:hAnsi="Arial"/>
          <w:color w:val="auto"/>
        </w:rPr>
        <w:t xml:space="preserve"> mandated Training Objectives (TOs) contained in the course specific Formal Training Statement (FTS) as defined in the Role Performance Statement (RPS). The overall purpose of the SOR is to ensure that, in accordance with TRA direction, a load bank is procured to support effective delivery of maintainer/operator training is procured.</w:t>
      </w:r>
    </w:p>
    <w:p w:rsidR="00F55631" w:rsidRPr="00905EAF" w:rsidRDefault="00F55631" w:rsidP="00F55631">
      <w:pPr>
        <w:tabs>
          <w:tab w:val="left" w:pos="567"/>
        </w:tabs>
        <w:spacing w:after="240"/>
        <w:rPr>
          <w:b/>
          <w:color w:val="auto"/>
        </w:rPr>
      </w:pPr>
      <w:r w:rsidRPr="00905EAF">
        <w:rPr>
          <w:b/>
          <w:color w:val="auto"/>
        </w:rPr>
        <w:t>Background</w:t>
      </w:r>
    </w:p>
    <w:p w:rsidR="00F55631" w:rsidRPr="00905EAF" w:rsidRDefault="00F55631" w:rsidP="00F55631">
      <w:pPr>
        <w:pStyle w:val="ListParagraph"/>
        <w:widowControl/>
        <w:numPr>
          <w:ilvl w:val="0"/>
          <w:numId w:val="1"/>
        </w:numPr>
        <w:tabs>
          <w:tab w:val="left" w:pos="567"/>
        </w:tabs>
        <w:spacing w:after="240"/>
        <w:rPr>
          <w:rFonts w:ascii="Arial" w:hAnsi="Arial"/>
          <w:bCs/>
          <w:color w:val="auto"/>
        </w:rPr>
      </w:pPr>
      <w:r w:rsidRPr="00905EAF">
        <w:rPr>
          <w:rFonts w:ascii="Arial" w:hAnsi="Arial"/>
          <w:bCs/>
          <w:color w:val="auto"/>
        </w:rPr>
        <w:t xml:space="preserve">At present </w:t>
      </w:r>
      <w:proofErr w:type="spellStart"/>
      <w:r w:rsidRPr="00905EAF">
        <w:rPr>
          <w:rFonts w:ascii="Arial" w:hAnsi="Arial"/>
          <w:bCs/>
          <w:color w:val="auto"/>
        </w:rPr>
        <w:t>DSMarE</w:t>
      </w:r>
      <w:proofErr w:type="spellEnd"/>
      <w:r w:rsidRPr="00905EAF">
        <w:rPr>
          <w:rFonts w:ascii="Arial" w:hAnsi="Arial"/>
          <w:bCs/>
          <w:color w:val="auto"/>
        </w:rPr>
        <w:t xml:space="preserve"> </w:t>
      </w:r>
      <w:proofErr w:type="spellStart"/>
      <w:r w:rsidRPr="00905EAF">
        <w:rPr>
          <w:rFonts w:ascii="Arial" w:hAnsi="Arial"/>
          <w:bCs/>
          <w:color w:val="auto"/>
        </w:rPr>
        <w:t>utilises</w:t>
      </w:r>
      <w:proofErr w:type="spellEnd"/>
      <w:r w:rsidRPr="00905EAF">
        <w:rPr>
          <w:rFonts w:ascii="Arial" w:hAnsi="Arial"/>
          <w:bCs/>
          <w:color w:val="auto"/>
        </w:rPr>
        <w:t xml:space="preserve"> a custom made load bank of 1960s vintage that supplies load to a Paxman </w:t>
      </w:r>
      <w:proofErr w:type="spellStart"/>
      <w:r w:rsidRPr="00905EAF">
        <w:rPr>
          <w:rFonts w:ascii="Arial" w:hAnsi="Arial"/>
          <w:bCs/>
          <w:color w:val="auto"/>
        </w:rPr>
        <w:t>Valenta</w:t>
      </w:r>
      <w:proofErr w:type="spellEnd"/>
      <w:r w:rsidRPr="00905EAF">
        <w:rPr>
          <w:rFonts w:ascii="Arial" w:hAnsi="Arial"/>
          <w:color w:val="auto"/>
        </w:rPr>
        <w:t xml:space="preserve"> RPA200</w:t>
      </w:r>
      <w:r w:rsidRPr="00905EAF">
        <w:rPr>
          <w:rFonts w:ascii="Arial" w:hAnsi="Arial"/>
          <w:bCs/>
          <w:color w:val="auto"/>
        </w:rPr>
        <w:t xml:space="preserve"> Generator set up similar to that employed on the T23 Frigate. Load is increased in incremental steps by manually closing individual breakers locally at the load bank.  The remaining running Diesel engines located in Watt hanger (</w:t>
      </w:r>
      <w:proofErr w:type="spellStart"/>
      <w:r w:rsidRPr="00905EAF">
        <w:rPr>
          <w:rFonts w:ascii="Arial" w:hAnsi="Arial"/>
          <w:bCs/>
          <w:color w:val="auto"/>
        </w:rPr>
        <w:t>Deltic</w:t>
      </w:r>
      <w:proofErr w:type="spellEnd"/>
      <w:r w:rsidRPr="00905EAF">
        <w:rPr>
          <w:rFonts w:ascii="Arial" w:hAnsi="Arial"/>
          <w:bCs/>
          <w:color w:val="auto"/>
        </w:rPr>
        <w:t xml:space="preserve"> and Paxman Ventura) have their loading supplied via a water brake arrangement that has no requirement for inputting into the load bank.</w:t>
      </w:r>
    </w:p>
    <w:p w:rsidR="00F55631" w:rsidRPr="00905EAF" w:rsidRDefault="00F55631" w:rsidP="00F55631">
      <w:pPr>
        <w:pStyle w:val="ListParagraph"/>
        <w:widowControl/>
        <w:numPr>
          <w:ilvl w:val="0"/>
          <w:numId w:val="1"/>
        </w:numPr>
        <w:tabs>
          <w:tab w:val="left" w:pos="567"/>
        </w:tabs>
        <w:spacing w:after="240"/>
        <w:rPr>
          <w:rFonts w:ascii="Arial" w:hAnsi="Arial"/>
          <w:color w:val="auto"/>
        </w:rPr>
      </w:pPr>
      <w:r w:rsidRPr="00905EAF">
        <w:rPr>
          <w:rFonts w:ascii="Arial" w:hAnsi="Arial"/>
          <w:color w:val="auto"/>
        </w:rPr>
        <w:t>Both the DELTIC and Paxman Ventura series of engines are awaiting removal to allow the installation of a MTU 12V 4000M53B</w:t>
      </w:r>
      <w:r w:rsidRPr="00905EAF">
        <w:rPr>
          <w:rStyle w:val="FootnoteReference"/>
          <w:color w:val="auto"/>
        </w:rPr>
        <w:footnoteReference w:id="1"/>
      </w:r>
      <w:r w:rsidRPr="00905EAF">
        <w:rPr>
          <w:rFonts w:ascii="Arial" w:hAnsi="Arial"/>
          <w:color w:val="auto"/>
        </w:rPr>
        <w:t xml:space="preserve"> and a </w:t>
      </w:r>
      <w:proofErr w:type="spellStart"/>
      <w:r w:rsidRPr="00905EAF">
        <w:rPr>
          <w:rFonts w:ascii="Arial" w:hAnsi="Arial"/>
          <w:color w:val="auto"/>
        </w:rPr>
        <w:t>Wartsila</w:t>
      </w:r>
      <w:proofErr w:type="spellEnd"/>
      <w:r w:rsidRPr="00905EAF">
        <w:rPr>
          <w:rFonts w:ascii="Arial" w:hAnsi="Arial"/>
          <w:color w:val="auto"/>
        </w:rPr>
        <w:t xml:space="preserve"> 4L20 engines to satisfy the new training requirements of the T23 PGMU and QEC projects respectively.  The relevant project’s intentions are to supply both these engines to </w:t>
      </w:r>
      <w:proofErr w:type="spellStart"/>
      <w:r w:rsidRPr="00905EAF">
        <w:rPr>
          <w:rFonts w:ascii="Arial" w:hAnsi="Arial"/>
          <w:color w:val="auto"/>
        </w:rPr>
        <w:t>DSMarE</w:t>
      </w:r>
      <w:proofErr w:type="spellEnd"/>
      <w:r w:rsidRPr="00905EAF">
        <w:rPr>
          <w:rFonts w:ascii="Arial" w:hAnsi="Arial"/>
          <w:color w:val="auto"/>
        </w:rPr>
        <w:t xml:space="preserve"> in a diesel generator configuration (the </w:t>
      </w:r>
      <w:proofErr w:type="spellStart"/>
      <w:r w:rsidRPr="00905EAF">
        <w:rPr>
          <w:rFonts w:ascii="Arial" w:hAnsi="Arial"/>
          <w:color w:val="auto"/>
        </w:rPr>
        <w:t>Wartsila</w:t>
      </w:r>
      <w:proofErr w:type="spellEnd"/>
      <w:r w:rsidRPr="00905EAF">
        <w:rPr>
          <w:rFonts w:ascii="Arial" w:hAnsi="Arial"/>
          <w:color w:val="auto"/>
        </w:rPr>
        <w:t xml:space="preserve"> is already on contract and the MTU is being delivered imminently). </w:t>
      </w:r>
    </w:p>
    <w:p w:rsidR="00F55631" w:rsidRPr="00905EAF" w:rsidRDefault="00F55631" w:rsidP="00F55631">
      <w:pPr>
        <w:tabs>
          <w:tab w:val="left" w:pos="567"/>
        </w:tabs>
        <w:spacing w:after="240"/>
        <w:rPr>
          <w:b/>
          <w:color w:val="auto"/>
        </w:rPr>
      </w:pPr>
      <w:r w:rsidRPr="00905EAF">
        <w:rPr>
          <w:b/>
          <w:color w:val="auto"/>
        </w:rPr>
        <w:t>Scope</w:t>
      </w:r>
    </w:p>
    <w:p w:rsidR="00F55631" w:rsidRPr="00905EAF" w:rsidRDefault="00F55631" w:rsidP="00F55631">
      <w:pPr>
        <w:pStyle w:val="ListParagraph"/>
        <w:widowControl/>
        <w:numPr>
          <w:ilvl w:val="0"/>
          <w:numId w:val="1"/>
        </w:numPr>
        <w:tabs>
          <w:tab w:val="left" w:pos="567"/>
        </w:tabs>
        <w:overflowPunct w:val="0"/>
        <w:autoSpaceDE w:val="0"/>
        <w:autoSpaceDN w:val="0"/>
        <w:adjustRightInd w:val="0"/>
        <w:spacing w:after="240"/>
        <w:textAlignment w:val="baseline"/>
        <w:rPr>
          <w:rFonts w:ascii="Arial" w:hAnsi="Arial"/>
          <w:color w:val="auto"/>
        </w:rPr>
      </w:pPr>
      <w:r w:rsidRPr="00905EAF">
        <w:rPr>
          <w:rFonts w:ascii="Arial" w:hAnsi="Arial"/>
          <w:color w:val="auto"/>
        </w:rPr>
        <w:t>The requirement includes the design, construction, delivery</w:t>
      </w:r>
      <w:r>
        <w:rPr>
          <w:rFonts w:ascii="Arial" w:hAnsi="Arial"/>
          <w:color w:val="auto"/>
        </w:rPr>
        <w:t>, installation</w:t>
      </w:r>
      <w:r w:rsidRPr="00905EAF">
        <w:rPr>
          <w:rFonts w:ascii="Arial" w:hAnsi="Arial"/>
          <w:color w:val="auto"/>
        </w:rPr>
        <w:t xml:space="preserve"> and commissioning of a load bank</w:t>
      </w:r>
      <w:r>
        <w:rPr>
          <w:rFonts w:ascii="Arial" w:hAnsi="Arial"/>
          <w:color w:val="auto"/>
        </w:rPr>
        <w:t xml:space="preserve"> and associated switchgear</w:t>
      </w:r>
      <w:r w:rsidRPr="00905EAF">
        <w:rPr>
          <w:rFonts w:ascii="Arial" w:hAnsi="Arial"/>
          <w:color w:val="auto"/>
        </w:rPr>
        <w:t xml:space="preserve"> to support Instructor Led Training (ILT) in Watt Hanger at </w:t>
      </w:r>
      <w:proofErr w:type="spellStart"/>
      <w:r w:rsidRPr="00905EAF">
        <w:rPr>
          <w:rFonts w:ascii="Arial" w:hAnsi="Arial"/>
          <w:color w:val="auto"/>
        </w:rPr>
        <w:t>DSMarE</w:t>
      </w:r>
      <w:proofErr w:type="spellEnd"/>
      <w:r w:rsidRPr="00905EAF">
        <w:rPr>
          <w:rFonts w:ascii="Arial" w:hAnsi="Arial"/>
          <w:color w:val="auto"/>
        </w:rPr>
        <w:t xml:space="preserve">. As well as initial operator training to </w:t>
      </w:r>
      <w:proofErr w:type="spellStart"/>
      <w:r w:rsidRPr="00905EAF">
        <w:rPr>
          <w:rFonts w:ascii="Arial" w:hAnsi="Arial"/>
          <w:color w:val="auto"/>
        </w:rPr>
        <w:t>DSMarE</w:t>
      </w:r>
      <w:proofErr w:type="spellEnd"/>
      <w:r w:rsidRPr="00905EAF">
        <w:rPr>
          <w:rFonts w:ascii="Arial" w:hAnsi="Arial"/>
          <w:color w:val="auto"/>
        </w:rPr>
        <w:t xml:space="preserve"> instructors, warranty for the load bank, maintenance and a </w:t>
      </w:r>
      <w:proofErr w:type="spellStart"/>
      <w:r w:rsidRPr="00905EAF">
        <w:rPr>
          <w:rFonts w:ascii="Arial" w:hAnsi="Arial"/>
          <w:color w:val="auto"/>
        </w:rPr>
        <w:t>programme</w:t>
      </w:r>
      <w:proofErr w:type="spellEnd"/>
      <w:r w:rsidRPr="00905EAF">
        <w:rPr>
          <w:rFonts w:ascii="Arial" w:hAnsi="Arial"/>
          <w:color w:val="auto"/>
        </w:rPr>
        <w:t xml:space="preserve"> of maintenance for the load bank.</w:t>
      </w:r>
    </w:p>
    <w:p w:rsidR="00F55631" w:rsidRPr="00905EAF" w:rsidRDefault="00F55631" w:rsidP="00F55631">
      <w:pPr>
        <w:pStyle w:val="ListParagraph"/>
        <w:widowControl/>
        <w:numPr>
          <w:ilvl w:val="0"/>
          <w:numId w:val="1"/>
        </w:numPr>
        <w:tabs>
          <w:tab w:val="left" w:pos="567"/>
        </w:tabs>
        <w:overflowPunct w:val="0"/>
        <w:autoSpaceDE w:val="0"/>
        <w:autoSpaceDN w:val="0"/>
        <w:adjustRightInd w:val="0"/>
        <w:spacing w:after="240"/>
        <w:textAlignment w:val="baseline"/>
        <w:rPr>
          <w:rFonts w:ascii="Arial" w:hAnsi="Arial"/>
          <w:color w:val="auto"/>
        </w:rPr>
      </w:pPr>
      <w:r w:rsidRPr="00905EAF">
        <w:rPr>
          <w:rFonts w:ascii="Arial" w:hAnsi="Arial"/>
          <w:color w:val="auto"/>
        </w:rPr>
        <w:t>The load bank</w:t>
      </w:r>
      <w:r>
        <w:rPr>
          <w:rFonts w:ascii="Arial" w:hAnsi="Arial"/>
          <w:color w:val="auto"/>
        </w:rPr>
        <w:t xml:space="preserve"> and switchgear</w:t>
      </w:r>
      <w:r w:rsidRPr="00905EAF">
        <w:rPr>
          <w:rFonts w:ascii="Arial" w:hAnsi="Arial"/>
          <w:color w:val="auto"/>
        </w:rPr>
        <w:t xml:space="preserve"> </w:t>
      </w:r>
      <w:r>
        <w:rPr>
          <w:rFonts w:ascii="Arial" w:hAnsi="Arial"/>
          <w:color w:val="auto"/>
        </w:rPr>
        <w:t>are</w:t>
      </w:r>
      <w:r w:rsidRPr="00905EAF">
        <w:rPr>
          <w:rFonts w:ascii="Arial" w:hAnsi="Arial"/>
          <w:color w:val="auto"/>
        </w:rPr>
        <w:t xml:space="preserve"> required to provide 100% load to 3 diesel generator sets rated at a maximum of 1750kVA and operating at 600V and 440V.</w:t>
      </w:r>
    </w:p>
    <w:p w:rsidR="00F55631" w:rsidRPr="00905EAF" w:rsidRDefault="00F55631" w:rsidP="00F55631">
      <w:pPr>
        <w:tabs>
          <w:tab w:val="left" w:pos="567"/>
        </w:tabs>
        <w:overflowPunct w:val="0"/>
        <w:autoSpaceDE w:val="0"/>
        <w:autoSpaceDN w:val="0"/>
        <w:adjustRightInd w:val="0"/>
        <w:spacing w:after="240"/>
        <w:textAlignment w:val="baseline"/>
        <w:rPr>
          <w:color w:val="auto"/>
        </w:rPr>
      </w:pPr>
      <w:r w:rsidRPr="00905EAF">
        <w:rPr>
          <w:b/>
          <w:color w:val="auto"/>
        </w:rPr>
        <w:t>Priorities</w:t>
      </w:r>
    </w:p>
    <w:p w:rsidR="00F55631" w:rsidRPr="00905EAF" w:rsidRDefault="00F55631" w:rsidP="00F55631">
      <w:pPr>
        <w:pStyle w:val="ListParagraph"/>
        <w:widowControl/>
        <w:numPr>
          <w:ilvl w:val="0"/>
          <w:numId w:val="1"/>
        </w:numPr>
        <w:tabs>
          <w:tab w:val="left" w:pos="567"/>
        </w:tabs>
        <w:overflowPunct w:val="0"/>
        <w:autoSpaceDE w:val="0"/>
        <w:autoSpaceDN w:val="0"/>
        <w:adjustRightInd w:val="0"/>
        <w:spacing w:after="240"/>
        <w:textAlignment w:val="baseline"/>
        <w:rPr>
          <w:rFonts w:ascii="Arial" w:hAnsi="Arial"/>
          <w:color w:val="auto"/>
        </w:rPr>
      </w:pPr>
      <w:r w:rsidRPr="00905EAF">
        <w:rPr>
          <w:rFonts w:ascii="Arial" w:hAnsi="Arial"/>
          <w:color w:val="auto"/>
        </w:rPr>
        <w:t xml:space="preserve">The requirements are listed in priority order at Table </w:t>
      </w:r>
      <w:r w:rsidRPr="00905EAF">
        <w:rPr>
          <w:rFonts w:ascii="Arial" w:hAnsi="Arial"/>
          <w:noProof/>
          <w:color w:val="auto"/>
        </w:rPr>
        <w:t>1</w:t>
      </w:r>
      <w:r w:rsidRPr="00905EAF">
        <w:rPr>
          <w:rFonts w:ascii="Arial" w:hAnsi="Arial"/>
          <w:color w:val="auto"/>
        </w:rPr>
        <w:t>.</w:t>
      </w:r>
    </w:p>
    <w:p w:rsidR="00F55631" w:rsidRPr="00905EAF" w:rsidRDefault="00F55631" w:rsidP="00F55631">
      <w:pPr>
        <w:tabs>
          <w:tab w:val="left" w:pos="567"/>
        </w:tabs>
        <w:spacing w:after="240"/>
        <w:rPr>
          <w:b/>
          <w:color w:val="auto"/>
        </w:rPr>
      </w:pPr>
      <w:r w:rsidRPr="00905EAF">
        <w:rPr>
          <w:b/>
          <w:color w:val="auto"/>
        </w:rPr>
        <w:t>Deliverable Dates</w:t>
      </w:r>
    </w:p>
    <w:p w:rsidR="00F55631" w:rsidRPr="00E13981" w:rsidRDefault="00F55631" w:rsidP="00F55631">
      <w:pPr>
        <w:pStyle w:val="Body1"/>
        <w:numPr>
          <w:ilvl w:val="0"/>
          <w:numId w:val="1"/>
        </w:numPr>
        <w:tabs>
          <w:tab w:val="left" w:pos="567"/>
        </w:tabs>
        <w:spacing w:after="240"/>
        <w:rPr>
          <w:rFonts w:cs="Arial"/>
          <w:color w:val="auto"/>
          <w:szCs w:val="22"/>
        </w:rPr>
      </w:pPr>
      <w:r w:rsidRPr="008C5E2F">
        <w:rPr>
          <w:rFonts w:cs="Arial"/>
          <w:color w:val="auto"/>
          <w:szCs w:val="22"/>
        </w:rPr>
        <w:lastRenderedPageBreak/>
        <w:t xml:space="preserve">The solution must be able to be at initial operating capability (IOC) no later than (NLT) </w:t>
      </w:r>
      <w:r w:rsidR="00141AEA" w:rsidRPr="008C5E2F">
        <w:rPr>
          <w:rFonts w:cs="Arial"/>
          <w:color w:val="auto"/>
          <w:szCs w:val="22"/>
        </w:rPr>
        <w:t>the date specified within the Sched</w:t>
      </w:r>
      <w:r w:rsidR="006A6E5A" w:rsidRPr="008C5E2F">
        <w:rPr>
          <w:rFonts w:cs="Arial"/>
          <w:color w:val="auto"/>
          <w:szCs w:val="22"/>
        </w:rPr>
        <w:t xml:space="preserve">ule of </w:t>
      </w:r>
      <w:proofErr w:type="spellStart"/>
      <w:r w:rsidR="006A6E5A" w:rsidRPr="008C5E2F">
        <w:rPr>
          <w:rFonts w:cs="Arial"/>
          <w:color w:val="auto"/>
          <w:szCs w:val="22"/>
        </w:rPr>
        <w:t>of</w:t>
      </w:r>
      <w:proofErr w:type="spellEnd"/>
      <w:r w:rsidR="006A6E5A" w:rsidRPr="008C5E2F">
        <w:rPr>
          <w:rFonts w:cs="Arial"/>
          <w:color w:val="auto"/>
          <w:szCs w:val="22"/>
        </w:rPr>
        <w:t xml:space="preserve"> Requirement </w:t>
      </w:r>
      <w:r w:rsidRPr="008C5E2F">
        <w:rPr>
          <w:rFonts w:cs="Arial"/>
          <w:color w:val="auto"/>
          <w:szCs w:val="22"/>
        </w:rPr>
        <w:t xml:space="preserve">and full operating capability (FOC) </w:t>
      </w:r>
      <w:r w:rsidR="00141AEA" w:rsidRPr="008C5E2F">
        <w:rPr>
          <w:rFonts w:cs="Arial"/>
          <w:color w:val="auto"/>
          <w:szCs w:val="22"/>
        </w:rPr>
        <w:t>within 2 weeks following installation</w:t>
      </w:r>
      <w:r w:rsidRPr="008C5E2F">
        <w:rPr>
          <w:rFonts w:cs="Arial"/>
          <w:color w:val="auto"/>
          <w:szCs w:val="22"/>
        </w:rPr>
        <w:t xml:space="preserve">. </w:t>
      </w:r>
      <w:r w:rsidRPr="00E13981">
        <w:rPr>
          <w:rFonts w:cs="Arial"/>
          <w:color w:val="auto"/>
          <w:szCs w:val="22"/>
        </w:rPr>
        <w:t>IOC and FOC are defined as:</w:t>
      </w:r>
    </w:p>
    <w:p w:rsidR="00F55631" w:rsidRPr="00905EAF" w:rsidRDefault="00F55631" w:rsidP="00F55631">
      <w:pPr>
        <w:pStyle w:val="Body1"/>
        <w:numPr>
          <w:ilvl w:val="1"/>
          <w:numId w:val="1"/>
        </w:numPr>
        <w:tabs>
          <w:tab w:val="left" w:pos="1134"/>
          <w:tab w:val="left" w:pos="2268"/>
        </w:tabs>
        <w:spacing w:after="240"/>
        <w:rPr>
          <w:rFonts w:cs="Arial"/>
          <w:color w:val="auto"/>
          <w:szCs w:val="22"/>
        </w:rPr>
      </w:pPr>
      <w:r w:rsidRPr="00905EAF">
        <w:rPr>
          <w:rFonts w:cs="Arial"/>
          <w:color w:val="auto"/>
          <w:szCs w:val="22"/>
        </w:rPr>
        <w:t>IOC:</w:t>
      </w:r>
      <w:r w:rsidRPr="00905EAF">
        <w:rPr>
          <w:rFonts w:cs="Arial"/>
          <w:color w:val="auto"/>
          <w:szCs w:val="22"/>
        </w:rPr>
        <w:tab/>
        <w:t>The solution is delivered and installed waiting commissioning.</w:t>
      </w:r>
    </w:p>
    <w:p w:rsidR="00F55631" w:rsidRPr="00905EAF" w:rsidRDefault="00F55631" w:rsidP="00F55631">
      <w:pPr>
        <w:pStyle w:val="Body1"/>
        <w:numPr>
          <w:ilvl w:val="1"/>
          <w:numId w:val="1"/>
        </w:numPr>
        <w:tabs>
          <w:tab w:val="left" w:pos="1134"/>
          <w:tab w:val="left" w:pos="2268"/>
        </w:tabs>
        <w:spacing w:after="240"/>
        <w:rPr>
          <w:rFonts w:cs="Arial"/>
          <w:color w:val="auto"/>
          <w:szCs w:val="22"/>
        </w:rPr>
      </w:pPr>
      <w:r w:rsidRPr="00905EAF">
        <w:rPr>
          <w:rFonts w:cs="Arial"/>
          <w:color w:val="auto"/>
          <w:szCs w:val="22"/>
        </w:rPr>
        <w:t>FOC:</w:t>
      </w:r>
      <w:r w:rsidRPr="00905EAF">
        <w:rPr>
          <w:rFonts w:cs="Arial"/>
          <w:color w:val="auto"/>
          <w:szCs w:val="22"/>
        </w:rPr>
        <w:tab/>
        <w:t>The solution is commissioned and ready for instruction to commence.</w:t>
      </w:r>
    </w:p>
    <w:p w:rsidR="00F55631" w:rsidRPr="00905EAF" w:rsidRDefault="00F55631" w:rsidP="00F55631">
      <w:pPr>
        <w:tabs>
          <w:tab w:val="left" w:pos="567"/>
        </w:tabs>
        <w:spacing w:after="240"/>
        <w:jc w:val="both"/>
        <w:rPr>
          <w:b/>
          <w:color w:val="auto"/>
        </w:rPr>
      </w:pPr>
      <w:r w:rsidRPr="00905EAF">
        <w:rPr>
          <w:b/>
          <w:color w:val="auto"/>
        </w:rPr>
        <w:t>Safety and Environmental Provisions</w:t>
      </w:r>
    </w:p>
    <w:p w:rsidR="00F55631" w:rsidRPr="00905EAF" w:rsidRDefault="00F55631" w:rsidP="00F55631">
      <w:pPr>
        <w:pStyle w:val="ListParagraph"/>
        <w:widowControl/>
        <w:numPr>
          <w:ilvl w:val="0"/>
          <w:numId w:val="1"/>
        </w:numPr>
        <w:tabs>
          <w:tab w:val="left" w:pos="567"/>
        </w:tabs>
        <w:spacing w:after="240"/>
        <w:jc w:val="both"/>
        <w:rPr>
          <w:rFonts w:ascii="Arial" w:hAnsi="Arial"/>
          <w:b/>
          <w:color w:val="auto"/>
        </w:rPr>
      </w:pPr>
      <w:r w:rsidRPr="00905EAF">
        <w:rPr>
          <w:rFonts w:ascii="Arial" w:hAnsi="Arial"/>
          <w:color w:val="auto"/>
        </w:rPr>
        <w:t>When on site the Contractor shall comply with on-site MOD Safety, Health and Environmental protection regulations.</w:t>
      </w:r>
    </w:p>
    <w:p w:rsidR="00F55631" w:rsidRPr="00905EAF" w:rsidRDefault="00F55631" w:rsidP="00F55631">
      <w:pPr>
        <w:pStyle w:val="ListParagraph"/>
        <w:spacing w:after="240"/>
        <w:jc w:val="both"/>
        <w:rPr>
          <w:rFonts w:ascii="Arial" w:hAnsi="Arial"/>
          <w:b/>
          <w:color w:val="auto"/>
        </w:rPr>
      </w:pPr>
      <w:r w:rsidRPr="00905EAF">
        <w:rPr>
          <w:rFonts w:ascii="Arial" w:hAnsi="Arial"/>
          <w:b/>
          <w:color w:val="auto"/>
        </w:rPr>
        <w:t>Outline of Deliverables</w:t>
      </w:r>
    </w:p>
    <w:p w:rsidR="00F55631" w:rsidRPr="00905EAF" w:rsidRDefault="00F55631" w:rsidP="00F55631">
      <w:pPr>
        <w:pStyle w:val="ListParagraph"/>
        <w:widowControl/>
        <w:numPr>
          <w:ilvl w:val="0"/>
          <w:numId w:val="1"/>
        </w:numPr>
        <w:tabs>
          <w:tab w:val="left" w:pos="567"/>
        </w:tabs>
        <w:spacing w:after="240"/>
        <w:jc w:val="both"/>
        <w:rPr>
          <w:rFonts w:ascii="Arial" w:hAnsi="Arial"/>
          <w:b/>
          <w:color w:val="auto"/>
        </w:rPr>
      </w:pPr>
      <w:r w:rsidRPr="00905EAF">
        <w:rPr>
          <w:rFonts w:ascii="Arial" w:hAnsi="Arial"/>
          <w:color w:val="auto"/>
        </w:rPr>
        <w:t>The deliverables shall consist of the following items:</w:t>
      </w:r>
    </w:p>
    <w:p w:rsidR="00F55631" w:rsidRPr="00905EAF" w:rsidRDefault="00F55631" w:rsidP="00F55631">
      <w:pPr>
        <w:pStyle w:val="ListParagraph"/>
        <w:widowControl/>
        <w:numPr>
          <w:ilvl w:val="1"/>
          <w:numId w:val="1"/>
        </w:numPr>
        <w:tabs>
          <w:tab w:val="left" w:pos="567"/>
        </w:tabs>
        <w:spacing w:after="240"/>
        <w:jc w:val="both"/>
        <w:rPr>
          <w:rFonts w:ascii="Arial" w:hAnsi="Arial"/>
          <w:b/>
          <w:color w:val="auto"/>
        </w:rPr>
      </w:pPr>
      <w:r w:rsidRPr="00905EAF">
        <w:rPr>
          <w:rFonts w:ascii="Arial" w:hAnsi="Arial"/>
          <w:color w:val="auto"/>
        </w:rPr>
        <w:t>Load bank</w:t>
      </w:r>
      <w:r>
        <w:rPr>
          <w:rFonts w:ascii="Arial" w:hAnsi="Arial"/>
          <w:color w:val="auto"/>
        </w:rPr>
        <w:t xml:space="preserve"> and switchgear</w:t>
      </w:r>
      <w:r w:rsidRPr="00905EAF">
        <w:rPr>
          <w:rFonts w:ascii="Arial" w:hAnsi="Arial"/>
          <w:color w:val="auto"/>
        </w:rPr>
        <w:t xml:space="preserve"> </w:t>
      </w:r>
      <w:r>
        <w:rPr>
          <w:rFonts w:ascii="Arial" w:hAnsi="Arial"/>
          <w:color w:val="auto"/>
        </w:rPr>
        <w:t xml:space="preserve">installed and commissioned </w:t>
      </w:r>
      <w:r w:rsidRPr="00905EAF">
        <w:rPr>
          <w:rFonts w:ascii="Arial" w:hAnsi="Arial"/>
          <w:color w:val="auto"/>
        </w:rPr>
        <w:t>to the standards defined in Paragraph 11.</w:t>
      </w:r>
    </w:p>
    <w:p w:rsidR="00F55631" w:rsidRPr="00BB53B9" w:rsidRDefault="00F55631" w:rsidP="00F55631">
      <w:pPr>
        <w:pStyle w:val="ListParagraph"/>
        <w:widowControl/>
        <w:numPr>
          <w:ilvl w:val="1"/>
          <w:numId w:val="1"/>
        </w:numPr>
        <w:tabs>
          <w:tab w:val="left" w:pos="567"/>
        </w:tabs>
        <w:spacing w:after="240"/>
        <w:jc w:val="both"/>
        <w:rPr>
          <w:rFonts w:ascii="Arial" w:hAnsi="Arial"/>
          <w:b/>
          <w:color w:val="auto"/>
        </w:rPr>
      </w:pPr>
      <w:r w:rsidRPr="00905EAF">
        <w:rPr>
          <w:rFonts w:ascii="Arial" w:hAnsi="Arial"/>
          <w:color w:val="auto"/>
        </w:rPr>
        <w:t xml:space="preserve">Initial operator training to </w:t>
      </w:r>
      <w:proofErr w:type="spellStart"/>
      <w:r w:rsidRPr="00905EAF">
        <w:rPr>
          <w:rFonts w:ascii="Arial" w:hAnsi="Arial"/>
          <w:color w:val="auto"/>
        </w:rPr>
        <w:t>DSMarE</w:t>
      </w:r>
      <w:proofErr w:type="spellEnd"/>
      <w:r w:rsidRPr="00905EAF">
        <w:rPr>
          <w:rFonts w:ascii="Arial" w:hAnsi="Arial"/>
          <w:color w:val="auto"/>
        </w:rPr>
        <w:t xml:space="preserve"> instructors as defined in Paragraph 12.</w:t>
      </w:r>
    </w:p>
    <w:p w:rsidR="00BB53B9" w:rsidRPr="00905EAF" w:rsidRDefault="00BB53B9" w:rsidP="00F55631">
      <w:pPr>
        <w:pStyle w:val="ListParagraph"/>
        <w:widowControl/>
        <w:numPr>
          <w:ilvl w:val="1"/>
          <w:numId w:val="1"/>
        </w:numPr>
        <w:tabs>
          <w:tab w:val="left" w:pos="567"/>
        </w:tabs>
        <w:spacing w:after="240"/>
        <w:jc w:val="both"/>
        <w:rPr>
          <w:rFonts w:ascii="Arial" w:hAnsi="Arial"/>
          <w:b/>
          <w:color w:val="auto"/>
        </w:rPr>
      </w:pPr>
      <w:r>
        <w:rPr>
          <w:rFonts w:ascii="Arial" w:hAnsi="Arial"/>
          <w:color w:val="auto"/>
        </w:rPr>
        <w:t>Installation drawing in electronic format detailing connectivity of the load bank &amp; switch gear installation.</w:t>
      </w:r>
    </w:p>
    <w:p w:rsidR="00F55631" w:rsidRPr="00905EAF" w:rsidRDefault="00F55631" w:rsidP="00F55631">
      <w:pPr>
        <w:pStyle w:val="ListParagraph"/>
        <w:widowControl/>
        <w:numPr>
          <w:ilvl w:val="1"/>
          <w:numId w:val="1"/>
        </w:numPr>
        <w:tabs>
          <w:tab w:val="left" w:pos="567"/>
        </w:tabs>
        <w:spacing w:after="240"/>
        <w:jc w:val="both"/>
        <w:rPr>
          <w:rFonts w:ascii="Arial" w:hAnsi="Arial"/>
          <w:color w:val="auto"/>
        </w:rPr>
      </w:pPr>
      <w:r w:rsidRPr="00905EAF">
        <w:rPr>
          <w:rFonts w:ascii="Arial" w:hAnsi="Arial"/>
          <w:color w:val="auto"/>
        </w:rPr>
        <w:t xml:space="preserve">2 year maintenance of load bank including a </w:t>
      </w:r>
      <w:proofErr w:type="spellStart"/>
      <w:r w:rsidRPr="00905EAF">
        <w:rPr>
          <w:rFonts w:ascii="Arial" w:hAnsi="Arial"/>
          <w:color w:val="auto"/>
        </w:rPr>
        <w:t>programme</w:t>
      </w:r>
      <w:proofErr w:type="spellEnd"/>
      <w:r w:rsidRPr="00905EAF">
        <w:rPr>
          <w:rFonts w:ascii="Arial" w:hAnsi="Arial"/>
          <w:color w:val="auto"/>
        </w:rPr>
        <w:t xml:space="preserve"> of maintenance as defined at Paragraph 12.</w:t>
      </w:r>
    </w:p>
    <w:p w:rsidR="00F55631" w:rsidRPr="00905EAF" w:rsidRDefault="00F55631" w:rsidP="00F55631">
      <w:pPr>
        <w:tabs>
          <w:tab w:val="left" w:pos="567"/>
        </w:tabs>
        <w:spacing w:after="240"/>
        <w:jc w:val="both"/>
        <w:rPr>
          <w:color w:val="auto"/>
        </w:rPr>
      </w:pPr>
      <w:r w:rsidRPr="00905EAF">
        <w:rPr>
          <w:b/>
          <w:color w:val="auto"/>
        </w:rPr>
        <w:t>Specification</w:t>
      </w:r>
    </w:p>
    <w:p w:rsidR="00F55631" w:rsidRPr="00905EAF" w:rsidRDefault="00F55631" w:rsidP="00F55631">
      <w:pPr>
        <w:pStyle w:val="ListParagraph"/>
        <w:widowControl/>
        <w:numPr>
          <w:ilvl w:val="0"/>
          <w:numId w:val="1"/>
        </w:numPr>
        <w:tabs>
          <w:tab w:val="left" w:pos="567"/>
        </w:tabs>
        <w:spacing w:after="240"/>
        <w:jc w:val="both"/>
        <w:rPr>
          <w:rFonts w:ascii="Arial" w:hAnsi="Arial"/>
          <w:color w:val="auto"/>
        </w:rPr>
      </w:pPr>
      <w:bookmarkStart w:id="1" w:name="_Ref483477105"/>
      <w:r w:rsidRPr="00905EAF">
        <w:rPr>
          <w:rFonts w:ascii="Arial" w:hAnsi="Arial"/>
          <w:color w:val="auto"/>
        </w:rPr>
        <w:t xml:space="preserve">The load bank is to comply with the specifications as detailed in Table </w:t>
      </w:r>
      <w:r w:rsidRPr="00905EAF">
        <w:rPr>
          <w:rFonts w:ascii="Arial" w:hAnsi="Arial"/>
          <w:noProof/>
          <w:color w:val="auto"/>
        </w:rPr>
        <w:t>1</w:t>
      </w:r>
      <w:r w:rsidRPr="00905EAF">
        <w:rPr>
          <w:rFonts w:ascii="Arial" w:hAnsi="Arial"/>
          <w:color w:val="auto"/>
        </w:rPr>
        <w:t xml:space="preserve"> below.</w:t>
      </w:r>
      <w:bookmarkEnd w:id="1"/>
    </w:p>
    <w:p w:rsidR="00F55631" w:rsidRPr="00905EAF" w:rsidRDefault="00F55631" w:rsidP="00F55631">
      <w:pPr>
        <w:pStyle w:val="Caption"/>
        <w:keepNext/>
        <w:spacing w:after="0"/>
        <w:rPr>
          <w:b/>
          <w:i w:val="0"/>
          <w:color w:val="auto"/>
          <w:sz w:val="22"/>
          <w:szCs w:val="22"/>
        </w:rPr>
      </w:pPr>
      <w:bookmarkStart w:id="2" w:name="_Ref483468052"/>
      <w:r w:rsidRPr="00905EAF">
        <w:rPr>
          <w:b/>
          <w:i w:val="0"/>
          <w:color w:val="auto"/>
          <w:sz w:val="22"/>
          <w:szCs w:val="22"/>
        </w:rPr>
        <w:t xml:space="preserve">Table </w:t>
      </w:r>
      <w:r w:rsidRPr="00905EAF">
        <w:rPr>
          <w:b/>
          <w:i w:val="0"/>
          <w:noProof/>
          <w:color w:val="auto"/>
          <w:sz w:val="22"/>
          <w:szCs w:val="22"/>
        </w:rPr>
        <w:t>1</w:t>
      </w:r>
      <w:bookmarkEnd w:id="2"/>
      <w:r w:rsidRPr="00905EAF">
        <w:rPr>
          <w:b/>
          <w:i w:val="0"/>
          <w:color w:val="auto"/>
          <w:sz w:val="22"/>
          <w:szCs w:val="22"/>
        </w:rPr>
        <w:t xml:space="preserve"> – Specification of Load Bank</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0"/>
        <w:gridCol w:w="4241"/>
        <w:gridCol w:w="4111"/>
      </w:tblGrid>
      <w:tr w:rsidR="00F55631" w:rsidRPr="00905EAF" w:rsidTr="009B179E">
        <w:trPr>
          <w:trHeight w:val="491"/>
          <w:tblHeader/>
        </w:trPr>
        <w:tc>
          <w:tcPr>
            <w:tcW w:w="650" w:type="dxa"/>
            <w:vAlign w:val="center"/>
          </w:tcPr>
          <w:p w:rsidR="00F55631" w:rsidRPr="00905EAF" w:rsidRDefault="00F55631" w:rsidP="009B179E">
            <w:pPr>
              <w:jc w:val="center"/>
              <w:rPr>
                <w:b/>
                <w:color w:val="auto"/>
                <w:sz w:val="20"/>
              </w:rPr>
            </w:pPr>
            <w:r w:rsidRPr="00905EAF">
              <w:rPr>
                <w:b/>
                <w:color w:val="auto"/>
                <w:sz w:val="20"/>
              </w:rPr>
              <w:t>Ref</w:t>
            </w:r>
          </w:p>
        </w:tc>
        <w:tc>
          <w:tcPr>
            <w:tcW w:w="4241" w:type="dxa"/>
            <w:vAlign w:val="center"/>
          </w:tcPr>
          <w:p w:rsidR="00F55631" w:rsidRPr="00905EAF" w:rsidRDefault="00F55631" w:rsidP="009B179E">
            <w:pPr>
              <w:jc w:val="center"/>
              <w:rPr>
                <w:b/>
                <w:color w:val="auto"/>
                <w:sz w:val="20"/>
              </w:rPr>
            </w:pPr>
            <w:r w:rsidRPr="00905EAF">
              <w:rPr>
                <w:b/>
                <w:color w:val="auto"/>
                <w:sz w:val="20"/>
              </w:rPr>
              <w:t>Specification</w:t>
            </w:r>
          </w:p>
        </w:tc>
        <w:tc>
          <w:tcPr>
            <w:tcW w:w="4111" w:type="dxa"/>
            <w:vAlign w:val="center"/>
          </w:tcPr>
          <w:p w:rsidR="00F55631" w:rsidRPr="00905EAF" w:rsidRDefault="00F55631" w:rsidP="009B179E">
            <w:pPr>
              <w:jc w:val="center"/>
              <w:rPr>
                <w:b/>
                <w:color w:val="auto"/>
                <w:sz w:val="20"/>
              </w:rPr>
            </w:pPr>
            <w:r w:rsidRPr="00905EAF">
              <w:rPr>
                <w:b/>
                <w:color w:val="auto"/>
                <w:sz w:val="20"/>
              </w:rPr>
              <w:t>Additional Information</w:t>
            </w:r>
          </w:p>
        </w:tc>
      </w:tr>
      <w:tr w:rsidR="00F55631" w:rsidRPr="00905EAF" w:rsidTr="009B179E">
        <w:trPr>
          <w:trHeight w:val="259"/>
        </w:trPr>
        <w:tc>
          <w:tcPr>
            <w:tcW w:w="650" w:type="dxa"/>
            <w:vAlign w:val="center"/>
          </w:tcPr>
          <w:p w:rsidR="00F55631" w:rsidRPr="00905EAF" w:rsidRDefault="00F55631" w:rsidP="009B179E">
            <w:pPr>
              <w:jc w:val="center"/>
              <w:rPr>
                <w:color w:val="auto"/>
                <w:sz w:val="20"/>
              </w:rPr>
            </w:pPr>
            <w:r w:rsidRPr="00905EAF">
              <w:rPr>
                <w:color w:val="auto"/>
                <w:sz w:val="20"/>
              </w:rPr>
              <w:t>1</w:t>
            </w:r>
          </w:p>
        </w:tc>
        <w:tc>
          <w:tcPr>
            <w:tcW w:w="4241" w:type="dxa"/>
            <w:vAlign w:val="center"/>
          </w:tcPr>
          <w:p w:rsidR="00F55631" w:rsidRPr="00905EAF" w:rsidRDefault="00F55631" w:rsidP="009B179E">
            <w:pPr>
              <w:jc w:val="center"/>
              <w:rPr>
                <w:b/>
                <w:color w:val="auto"/>
                <w:sz w:val="20"/>
              </w:rPr>
            </w:pPr>
            <w:r w:rsidRPr="00905EAF">
              <w:rPr>
                <w:color w:val="auto"/>
                <w:sz w:val="20"/>
              </w:rPr>
              <w:t>The solution must be able to connect to both 600/440v supplies</w:t>
            </w:r>
          </w:p>
        </w:tc>
        <w:tc>
          <w:tcPr>
            <w:tcW w:w="4111" w:type="dxa"/>
            <w:vAlign w:val="center"/>
          </w:tcPr>
          <w:p w:rsidR="00F55631" w:rsidRPr="00905EAF" w:rsidRDefault="00F55631" w:rsidP="009B179E">
            <w:pPr>
              <w:jc w:val="center"/>
              <w:rPr>
                <w:color w:val="auto"/>
                <w:sz w:val="20"/>
              </w:rPr>
            </w:pPr>
            <w:r w:rsidRPr="00905EAF">
              <w:rPr>
                <w:color w:val="auto"/>
                <w:sz w:val="20"/>
              </w:rPr>
              <w:t xml:space="preserve">1 </w:t>
            </w:r>
            <w:proofErr w:type="spellStart"/>
            <w:r w:rsidRPr="00905EAF">
              <w:rPr>
                <w:color w:val="auto"/>
                <w:sz w:val="20"/>
              </w:rPr>
              <w:t>genset</w:t>
            </w:r>
            <w:proofErr w:type="spellEnd"/>
            <w:r w:rsidRPr="00905EAF">
              <w:rPr>
                <w:color w:val="auto"/>
                <w:sz w:val="20"/>
              </w:rPr>
              <w:t xml:space="preserve"> produces 600V whilst the other 2 have 440V outputs</w:t>
            </w:r>
          </w:p>
        </w:tc>
      </w:tr>
      <w:tr w:rsidR="00F55631" w:rsidRPr="00905EAF" w:rsidTr="009B179E">
        <w:trPr>
          <w:trHeight w:val="259"/>
        </w:trPr>
        <w:tc>
          <w:tcPr>
            <w:tcW w:w="650" w:type="dxa"/>
            <w:vAlign w:val="center"/>
          </w:tcPr>
          <w:p w:rsidR="00F55631" w:rsidRPr="00905EAF" w:rsidRDefault="00F55631" w:rsidP="009B179E">
            <w:pPr>
              <w:jc w:val="center"/>
              <w:rPr>
                <w:color w:val="auto"/>
                <w:sz w:val="20"/>
              </w:rPr>
            </w:pPr>
            <w:r w:rsidRPr="00905EAF">
              <w:rPr>
                <w:color w:val="auto"/>
                <w:sz w:val="20"/>
              </w:rPr>
              <w:t>2</w:t>
            </w:r>
          </w:p>
        </w:tc>
        <w:tc>
          <w:tcPr>
            <w:tcW w:w="4241" w:type="dxa"/>
            <w:vAlign w:val="center"/>
          </w:tcPr>
          <w:p w:rsidR="00F55631" w:rsidRPr="00905EAF" w:rsidRDefault="00F55631" w:rsidP="009B179E">
            <w:pPr>
              <w:jc w:val="center"/>
              <w:rPr>
                <w:b/>
                <w:color w:val="auto"/>
                <w:sz w:val="20"/>
              </w:rPr>
            </w:pPr>
            <w:r w:rsidRPr="00905EAF">
              <w:rPr>
                <w:color w:val="auto"/>
                <w:sz w:val="20"/>
              </w:rPr>
              <w:t>Be able to handle 1750 KVA at 0.8 Pf load with a 10% fault over load capacity</w:t>
            </w:r>
          </w:p>
        </w:tc>
        <w:tc>
          <w:tcPr>
            <w:tcW w:w="4111" w:type="dxa"/>
            <w:vAlign w:val="center"/>
          </w:tcPr>
          <w:p w:rsidR="00F55631" w:rsidRPr="00905EAF" w:rsidRDefault="00F55631" w:rsidP="009B179E">
            <w:pPr>
              <w:jc w:val="center"/>
              <w:rPr>
                <w:color w:val="auto"/>
                <w:sz w:val="20"/>
              </w:rPr>
            </w:pPr>
            <w:r w:rsidRPr="00905EAF">
              <w:rPr>
                <w:color w:val="auto"/>
                <w:sz w:val="20"/>
              </w:rPr>
              <w:t xml:space="preserve">The 600v </w:t>
            </w:r>
            <w:proofErr w:type="spellStart"/>
            <w:r w:rsidRPr="00905EAF">
              <w:rPr>
                <w:color w:val="auto"/>
                <w:sz w:val="20"/>
              </w:rPr>
              <w:t>genset</w:t>
            </w:r>
            <w:proofErr w:type="spellEnd"/>
            <w:r w:rsidRPr="00905EAF">
              <w:rPr>
                <w:color w:val="auto"/>
                <w:sz w:val="20"/>
              </w:rPr>
              <w:t xml:space="preserve"> has a max output of 1750KVa whilst the others are rated at 1250KVA</w:t>
            </w:r>
          </w:p>
        </w:tc>
      </w:tr>
      <w:tr w:rsidR="00F55631" w:rsidRPr="00905EAF" w:rsidTr="009B179E">
        <w:trPr>
          <w:trHeight w:val="259"/>
        </w:trPr>
        <w:tc>
          <w:tcPr>
            <w:tcW w:w="650" w:type="dxa"/>
            <w:vAlign w:val="center"/>
          </w:tcPr>
          <w:p w:rsidR="00F55631" w:rsidRPr="00905EAF" w:rsidRDefault="00F55631" w:rsidP="009B179E">
            <w:pPr>
              <w:jc w:val="center"/>
              <w:rPr>
                <w:color w:val="auto"/>
                <w:sz w:val="20"/>
              </w:rPr>
            </w:pPr>
            <w:r w:rsidRPr="00905EAF">
              <w:rPr>
                <w:color w:val="auto"/>
                <w:sz w:val="20"/>
              </w:rPr>
              <w:t>3</w:t>
            </w:r>
          </w:p>
        </w:tc>
        <w:tc>
          <w:tcPr>
            <w:tcW w:w="4241" w:type="dxa"/>
            <w:vAlign w:val="center"/>
          </w:tcPr>
          <w:p w:rsidR="00F55631" w:rsidRPr="00905EAF" w:rsidRDefault="00F55631" w:rsidP="009B179E">
            <w:pPr>
              <w:autoSpaceDE w:val="0"/>
              <w:autoSpaceDN w:val="0"/>
              <w:adjustRightInd w:val="0"/>
              <w:jc w:val="center"/>
              <w:rPr>
                <w:color w:val="auto"/>
                <w:sz w:val="20"/>
              </w:rPr>
            </w:pPr>
            <w:r w:rsidRPr="00905EAF">
              <w:rPr>
                <w:color w:val="auto"/>
                <w:sz w:val="20"/>
                <w:szCs w:val="20"/>
              </w:rPr>
              <w:t xml:space="preserve">Switchboard to be rated at 600/ 440V 50/60Hz, 3 phase with a 3 wire, </w:t>
            </w:r>
            <w:proofErr w:type="spellStart"/>
            <w:r w:rsidRPr="00905EAF">
              <w:rPr>
                <w:color w:val="auto"/>
                <w:sz w:val="20"/>
                <w:szCs w:val="20"/>
              </w:rPr>
              <w:t>busbar</w:t>
            </w:r>
            <w:proofErr w:type="spellEnd"/>
            <w:r w:rsidRPr="00905EAF">
              <w:rPr>
                <w:color w:val="auto"/>
                <w:sz w:val="20"/>
                <w:szCs w:val="20"/>
              </w:rPr>
              <w:t xml:space="preserve"> rated at 2000A.</w:t>
            </w:r>
          </w:p>
        </w:tc>
        <w:tc>
          <w:tcPr>
            <w:tcW w:w="4111" w:type="dxa"/>
            <w:vAlign w:val="center"/>
          </w:tcPr>
          <w:p w:rsidR="00F55631" w:rsidRPr="00905EAF" w:rsidRDefault="00F55631" w:rsidP="009B179E">
            <w:pPr>
              <w:jc w:val="center"/>
              <w:rPr>
                <w:color w:val="auto"/>
                <w:sz w:val="20"/>
                <w:szCs w:val="20"/>
              </w:rPr>
            </w:pPr>
            <w:r w:rsidRPr="00905EAF">
              <w:rPr>
                <w:color w:val="auto"/>
                <w:sz w:val="20"/>
                <w:szCs w:val="20"/>
              </w:rPr>
              <w:t>Switchboard can be rated at 440V should a step down transformer be utilised in the final solution</w:t>
            </w:r>
          </w:p>
        </w:tc>
      </w:tr>
      <w:tr w:rsidR="00F55631" w:rsidRPr="00905EAF" w:rsidTr="009B179E">
        <w:trPr>
          <w:trHeight w:val="259"/>
        </w:trPr>
        <w:tc>
          <w:tcPr>
            <w:tcW w:w="650" w:type="dxa"/>
            <w:vAlign w:val="center"/>
          </w:tcPr>
          <w:p w:rsidR="00F55631" w:rsidRPr="00905EAF" w:rsidRDefault="00F55631" w:rsidP="009B179E">
            <w:pPr>
              <w:jc w:val="center"/>
              <w:rPr>
                <w:color w:val="auto"/>
                <w:sz w:val="20"/>
              </w:rPr>
            </w:pPr>
            <w:r w:rsidRPr="00905EAF">
              <w:rPr>
                <w:color w:val="auto"/>
                <w:sz w:val="20"/>
              </w:rPr>
              <w:t>4</w:t>
            </w:r>
          </w:p>
        </w:tc>
        <w:tc>
          <w:tcPr>
            <w:tcW w:w="4241" w:type="dxa"/>
            <w:vAlign w:val="center"/>
          </w:tcPr>
          <w:p w:rsidR="00F55631" w:rsidRPr="00905EAF" w:rsidRDefault="00F55631" w:rsidP="009B179E">
            <w:pPr>
              <w:autoSpaceDE w:val="0"/>
              <w:autoSpaceDN w:val="0"/>
              <w:adjustRightInd w:val="0"/>
              <w:jc w:val="center"/>
              <w:rPr>
                <w:color w:val="auto"/>
                <w:sz w:val="20"/>
              </w:rPr>
            </w:pPr>
            <w:r w:rsidRPr="00905EAF">
              <w:rPr>
                <w:color w:val="auto"/>
                <w:sz w:val="20"/>
              </w:rPr>
              <w:t>Switchgear must be able to withstand</w:t>
            </w:r>
            <w:r w:rsidRPr="00905EAF">
              <w:rPr>
                <w:color w:val="auto"/>
                <w:sz w:val="20"/>
                <w:szCs w:val="20"/>
              </w:rPr>
              <w:t xml:space="preserve"> a minimum short circuit of 40kA @ 600V</w:t>
            </w:r>
          </w:p>
        </w:tc>
        <w:tc>
          <w:tcPr>
            <w:tcW w:w="4111" w:type="dxa"/>
            <w:vAlign w:val="center"/>
          </w:tcPr>
          <w:p w:rsidR="00F55631" w:rsidRPr="00905EAF" w:rsidRDefault="00F55631" w:rsidP="009B179E">
            <w:pPr>
              <w:jc w:val="center"/>
              <w:rPr>
                <w:color w:val="auto"/>
                <w:sz w:val="20"/>
                <w:szCs w:val="20"/>
              </w:rPr>
            </w:pPr>
            <w:r w:rsidRPr="00905EAF">
              <w:rPr>
                <w:color w:val="auto"/>
                <w:sz w:val="20"/>
                <w:szCs w:val="20"/>
              </w:rPr>
              <w:t>Actual fault capacity will be dependent on the final solution.</w:t>
            </w:r>
          </w:p>
        </w:tc>
      </w:tr>
      <w:tr w:rsidR="00F55631" w:rsidRPr="00905EAF" w:rsidTr="009B179E">
        <w:trPr>
          <w:trHeight w:val="259"/>
        </w:trPr>
        <w:tc>
          <w:tcPr>
            <w:tcW w:w="650" w:type="dxa"/>
            <w:vAlign w:val="center"/>
          </w:tcPr>
          <w:p w:rsidR="00F55631" w:rsidRPr="00905EAF" w:rsidRDefault="00F55631" w:rsidP="009B179E">
            <w:pPr>
              <w:jc w:val="center"/>
              <w:rPr>
                <w:color w:val="auto"/>
                <w:sz w:val="20"/>
              </w:rPr>
            </w:pPr>
            <w:r w:rsidRPr="00905EAF">
              <w:rPr>
                <w:color w:val="auto"/>
                <w:sz w:val="20"/>
              </w:rPr>
              <w:t>5</w:t>
            </w:r>
          </w:p>
        </w:tc>
        <w:tc>
          <w:tcPr>
            <w:tcW w:w="4241" w:type="dxa"/>
            <w:vAlign w:val="center"/>
          </w:tcPr>
          <w:p w:rsidR="00F55631" w:rsidRPr="00905EAF" w:rsidRDefault="00F55631" w:rsidP="009B179E">
            <w:pPr>
              <w:autoSpaceDE w:val="0"/>
              <w:autoSpaceDN w:val="0"/>
              <w:adjustRightInd w:val="0"/>
              <w:jc w:val="center"/>
              <w:rPr>
                <w:color w:val="auto"/>
                <w:sz w:val="20"/>
              </w:rPr>
            </w:pPr>
            <w:r w:rsidRPr="00905EAF">
              <w:rPr>
                <w:color w:val="auto"/>
                <w:sz w:val="20"/>
              </w:rPr>
              <w:t xml:space="preserve">Switchgear must be compatible with the Automatic Voltage Regulators (AVR) fitted to the </w:t>
            </w:r>
            <w:proofErr w:type="spellStart"/>
            <w:r w:rsidRPr="00905EAF">
              <w:rPr>
                <w:color w:val="auto"/>
                <w:sz w:val="20"/>
              </w:rPr>
              <w:t>Wartsila</w:t>
            </w:r>
            <w:proofErr w:type="spellEnd"/>
            <w:r w:rsidRPr="00905EAF">
              <w:rPr>
                <w:color w:val="auto"/>
                <w:sz w:val="20"/>
              </w:rPr>
              <w:t xml:space="preserve"> and MTU </w:t>
            </w:r>
            <w:proofErr w:type="spellStart"/>
            <w:r w:rsidRPr="00905EAF">
              <w:rPr>
                <w:color w:val="auto"/>
                <w:sz w:val="20"/>
              </w:rPr>
              <w:t>gensets</w:t>
            </w:r>
            <w:proofErr w:type="spellEnd"/>
          </w:p>
        </w:tc>
        <w:tc>
          <w:tcPr>
            <w:tcW w:w="4111" w:type="dxa"/>
            <w:vAlign w:val="center"/>
          </w:tcPr>
          <w:p w:rsidR="00F55631" w:rsidRPr="00905EAF" w:rsidRDefault="00F55631" w:rsidP="009B179E">
            <w:pPr>
              <w:jc w:val="center"/>
              <w:rPr>
                <w:color w:val="auto"/>
                <w:sz w:val="20"/>
                <w:szCs w:val="20"/>
              </w:rPr>
            </w:pPr>
            <w:r w:rsidRPr="00905EAF">
              <w:rPr>
                <w:color w:val="auto"/>
                <w:sz w:val="20"/>
                <w:szCs w:val="20"/>
              </w:rPr>
              <w:t xml:space="preserve">The </w:t>
            </w:r>
            <w:proofErr w:type="spellStart"/>
            <w:r w:rsidRPr="00905EAF">
              <w:rPr>
                <w:color w:val="auto"/>
                <w:sz w:val="20"/>
                <w:szCs w:val="20"/>
              </w:rPr>
              <w:t>Wartsila</w:t>
            </w:r>
            <w:proofErr w:type="spellEnd"/>
            <w:r w:rsidRPr="00905EAF">
              <w:rPr>
                <w:color w:val="auto"/>
                <w:sz w:val="20"/>
                <w:szCs w:val="20"/>
              </w:rPr>
              <w:t xml:space="preserve"> </w:t>
            </w:r>
            <w:proofErr w:type="spellStart"/>
            <w:r w:rsidRPr="00905EAF">
              <w:rPr>
                <w:color w:val="auto"/>
                <w:sz w:val="20"/>
                <w:szCs w:val="20"/>
              </w:rPr>
              <w:t>genset</w:t>
            </w:r>
            <w:proofErr w:type="spellEnd"/>
            <w:r w:rsidRPr="00905EAF">
              <w:rPr>
                <w:color w:val="auto"/>
                <w:sz w:val="20"/>
                <w:szCs w:val="20"/>
              </w:rPr>
              <w:t xml:space="preserve"> has the Basler DECS 100 AVR fitted.</w:t>
            </w:r>
          </w:p>
          <w:p w:rsidR="00F55631" w:rsidRPr="00905EAF" w:rsidRDefault="00F55631" w:rsidP="009B179E">
            <w:pPr>
              <w:jc w:val="center"/>
              <w:rPr>
                <w:color w:val="auto"/>
                <w:sz w:val="20"/>
                <w:szCs w:val="20"/>
              </w:rPr>
            </w:pPr>
            <w:r w:rsidRPr="00905EAF">
              <w:rPr>
                <w:color w:val="auto"/>
                <w:sz w:val="20"/>
                <w:szCs w:val="20"/>
              </w:rPr>
              <w:t>The MTU has the Basler DECS-250 AVR fitted.</w:t>
            </w:r>
          </w:p>
        </w:tc>
      </w:tr>
      <w:tr w:rsidR="00F55631" w:rsidRPr="00905EAF" w:rsidTr="009B179E">
        <w:trPr>
          <w:trHeight w:val="259"/>
        </w:trPr>
        <w:tc>
          <w:tcPr>
            <w:tcW w:w="650" w:type="dxa"/>
            <w:vAlign w:val="center"/>
          </w:tcPr>
          <w:p w:rsidR="00F55631" w:rsidRPr="00905EAF" w:rsidRDefault="00F55631" w:rsidP="009B179E">
            <w:pPr>
              <w:jc w:val="center"/>
              <w:rPr>
                <w:color w:val="auto"/>
                <w:sz w:val="20"/>
              </w:rPr>
            </w:pPr>
            <w:r w:rsidRPr="00905EAF">
              <w:rPr>
                <w:color w:val="auto"/>
                <w:sz w:val="20"/>
              </w:rPr>
              <w:t>6</w:t>
            </w:r>
          </w:p>
        </w:tc>
        <w:tc>
          <w:tcPr>
            <w:tcW w:w="4241" w:type="dxa"/>
            <w:vAlign w:val="center"/>
          </w:tcPr>
          <w:p w:rsidR="00F55631" w:rsidRPr="00905EAF" w:rsidRDefault="00F55631" w:rsidP="009B179E">
            <w:pPr>
              <w:autoSpaceDE w:val="0"/>
              <w:autoSpaceDN w:val="0"/>
              <w:adjustRightInd w:val="0"/>
              <w:jc w:val="center"/>
              <w:rPr>
                <w:b/>
                <w:color w:val="auto"/>
                <w:sz w:val="20"/>
              </w:rPr>
            </w:pPr>
            <w:r w:rsidRPr="00905EAF">
              <w:rPr>
                <w:color w:val="auto"/>
                <w:sz w:val="20"/>
              </w:rPr>
              <w:t>Switchgear must be configured to</w:t>
            </w:r>
            <w:r w:rsidRPr="00905EAF">
              <w:rPr>
                <w:color w:val="auto"/>
              </w:rPr>
              <w:t xml:space="preserve"> </w:t>
            </w:r>
            <w:r w:rsidRPr="00905EAF">
              <w:rPr>
                <w:color w:val="auto"/>
                <w:sz w:val="20"/>
                <w:szCs w:val="20"/>
              </w:rPr>
              <w:t>enable loading in steps of 1kW with a range of metering and monitoring options</w:t>
            </w:r>
            <w:r w:rsidRPr="00905EAF">
              <w:rPr>
                <w:color w:val="auto"/>
                <w:sz w:val="20"/>
              </w:rPr>
              <w:t xml:space="preserve"> </w:t>
            </w:r>
          </w:p>
        </w:tc>
        <w:tc>
          <w:tcPr>
            <w:tcW w:w="4111" w:type="dxa"/>
            <w:vAlign w:val="center"/>
          </w:tcPr>
          <w:p w:rsidR="00F55631" w:rsidRPr="00905EAF" w:rsidRDefault="00F55631" w:rsidP="009B179E">
            <w:pPr>
              <w:jc w:val="center"/>
              <w:rPr>
                <w:color w:val="auto"/>
                <w:sz w:val="20"/>
                <w:szCs w:val="20"/>
              </w:rPr>
            </w:pPr>
            <w:r w:rsidRPr="00905EAF">
              <w:rPr>
                <w:color w:val="auto"/>
                <w:sz w:val="20"/>
                <w:szCs w:val="20"/>
              </w:rPr>
              <w:t xml:space="preserve">The enclosed quotation utilises a </w:t>
            </w:r>
            <w:proofErr w:type="spellStart"/>
            <w:r w:rsidRPr="00905EAF">
              <w:rPr>
                <w:color w:val="auto"/>
                <w:sz w:val="20"/>
                <w:szCs w:val="20"/>
              </w:rPr>
              <w:t>Crestchic</w:t>
            </w:r>
            <w:proofErr w:type="spellEnd"/>
            <w:r w:rsidRPr="00905EAF">
              <w:rPr>
                <w:color w:val="auto"/>
                <w:sz w:val="20"/>
                <w:szCs w:val="20"/>
              </w:rPr>
              <w:t xml:space="preserve"> Eclipse software package</w:t>
            </w:r>
          </w:p>
        </w:tc>
      </w:tr>
      <w:tr w:rsidR="00F55631" w:rsidRPr="00905EAF" w:rsidTr="009B179E">
        <w:trPr>
          <w:trHeight w:val="259"/>
        </w:trPr>
        <w:tc>
          <w:tcPr>
            <w:tcW w:w="650" w:type="dxa"/>
            <w:vAlign w:val="center"/>
          </w:tcPr>
          <w:p w:rsidR="00F55631" w:rsidRPr="00905EAF" w:rsidRDefault="00F55631" w:rsidP="009B179E">
            <w:pPr>
              <w:jc w:val="center"/>
              <w:rPr>
                <w:color w:val="auto"/>
                <w:sz w:val="20"/>
              </w:rPr>
            </w:pPr>
            <w:r w:rsidRPr="00905EAF">
              <w:rPr>
                <w:color w:val="auto"/>
                <w:sz w:val="20"/>
              </w:rPr>
              <w:t>7</w:t>
            </w:r>
          </w:p>
        </w:tc>
        <w:tc>
          <w:tcPr>
            <w:tcW w:w="4241" w:type="dxa"/>
            <w:vAlign w:val="center"/>
          </w:tcPr>
          <w:p w:rsidR="00F55631" w:rsidRPr="00905EAF" w:rsidRDefault="00F55631" w:rsidP="009B179E">
            <w:pPr>
              <w:autoSpaceDE w:val="0"/>
              <w:autoSpaceDN w:val="0"/>
              <w:adjustRightInd w:val="0"/>
              <w:jc w:val="center"/>
              <w:rPr>
                <w:color w:val="auto"/>
                <w:sz w:val="20"/>
              </w:rPr>
            </w:pPr>
            <w:r w:rsidRPr="00905EAF">
              <w:rPr>
                <w:color w:val="auto"/>
                <w:sz w:val="20"/>
                <w:szCs w:val="20"/>
              </w:rPr>
              <w:t>The switchboard is to be of mild steel, modular construction and be free standing</w:t>
            </w:r>
          </w:p>
        </w:tc>
        <w:tc>
          <w:tcPr>
            <w:tcW w:w="4111" w:type="dxa"/>
            <w:vAlign w:val="center"/>
          </w:tcPr>
          <w:p w:rsidR="00F55631" w:rsidRPr="00905EAF" w:rsidRDefault="00F55631" w:rsidP="009B179E">
            <w:pPr>
              <w:jc w:val="center"/>
              <w:rPr>
                <w:color w:val="auto"/>
                <w:sz w:val="20"/>
                <w:szCs w:val="20"/>
              </w:rPr>
            </w:pPr>
            <w:r w:rsidRPr="00905EAF">
              <w:rPr>
                <w:color w:val="auto"/>
                <w:sz w:val="20"/>
                <w:szCs w:val="20"/>
              </w:rPr>
              <w:t>Item to be located internally in Watt Ha</w:t>
            </w:r>
            <w:r>
              <w:rPr>
                <w:color w:val="auto"/>
                <w:sz w:val="20"/>
                <w:szCs w:val="20"/>
              </w:rPr>
              <w:t>n</w:t>
            </w:r>
            <w:r w:rsidRPr="00905EAF">
              <w:rPr>
                <w:color w:val="auto"/>
                <w:sz w:val="20"/>
                <w:szCs w:val="20"/>
              </w:rPr>
              <w:t>ger</w:t>
            </w:r>
          </w:p>
        </w:tc>
      </w:tr>
      <w:tr w:rsidR="00F55631" w:rsidRPr="00905EAF" w:rsidTr="009B179E">
        <w:trPr>
          <w:trHeight w:val="259"/>
        </w:trPr>
        <w:tc>
          <w:tcPr>
            <w:tcW w:w="650" w:type="dxa"/>
            <w:vAlign w:val="center"/>
          </w:tcPr>
          <w:p w:rsidR="00F55631" w:rsidRPr="00905EAF" w:rsidRDefault="00F55631" w:rsidP="009B179E">
            <w:pPr>
              <w:jc w:val="center"/>
              <w:rPr>
                <w:color w:val="auto"/>
                <w:sz w:val="20"/>
              </w:rPr>
            </w:pPr>
            <w:r w:rsidRPr="00905EAF">
              <w:rPr>
                <w:color w:val="auto"/>
                <w:sz w:val="20"/>
              </w:rPr>
              <w:t>8</w:t>
            </w:r>
          </w:p>
        </w:tc>
        <w:tc>
          <w:tcPr>
            <w:tcW w:w="4241" w:type="dxa"/>
            <w:vAlign w:val="center"/>
          </w:tcPr>
          <w:p w:rsidR="00F55631" w:rsidRPr="00905EAF" w:rsidRDefault="00F55631" w:rsidP="009B179E">
            <w:pPr>
              <w:jc w:val="center"/>
              <w:rPr>
                <w:b/>
                <w:color w:val="auto"/>
                <w:sz w:val="20"/>
              </w:rPr>
            </w:pPr>
            <w:r w:rsidRPr="00905EAF">
              <w:rPr>
                <w:color w:val="auto"/>
                <w:sz w:val="20"/>
              </w:rPr>
              <w:t>The load bank itself must be</w:t>
            </w:r>
            <w:r w:rsidRPr="00905EAF">
              <w:rPr>
                <w:color w:val="auto"/>
                <w:sz w:val="23"/>
                <w:szCs w:val="23"/>
              </w:rPr>
              <w:t xml:space="preserve"> h</w:t>
            </w:r>
            <w:r w:rsidRPr="00905EAF">
              <w:rPr>
                <w:color w:val="auto"/>
                <w:sz w:val="20"/>
                <w:szCs w:val="20"/>
              </w:rPr>
              <w:t xml:space="preserve">oused in a steel container suitable for outdoor use, </w:t>
            </w:r>
            <w:r w:rsidRPr="00905EAF">
              <w:rPr>
                <w:color w:val="auto"/>
                <w:sz w:val="20"/>
                <w:szCs w:val="20"/>
              </w:rPr>
              <w:lastRenderedPageBreak/>
              <w:t>complete with keypad and 50 meters of control cable.</w:t>
            </w:r>
          </w:p>
        </w:tc>
        <w:tc>
          <w:tcPr>
            <w:tcW w:w="4111" w:type="dxa"/>
            <w:vAlign w:val="center"/>
          </w:tcPr>
          <w:p w:rsidR="00F55631" w:rsidRPr="00905EAF" w:rsidRDefault="00F55631" w:rsidP="009B179E">
            <w:pPr>
              <w:jc w:val="center"/>
              <w:rPr>
                <w:color w:val="auto"/>
                <w:sz w:val="20"/>
                <w:szCs w:val="20"/>
              </w:rPr>
            </w:pPr>
            <w:r w:rsidRPr="00905EAF">
              <w:rPr>
                <w:color w:val="auto"/>
                <w:sz w:val="20"/>
                <w:szCs w:val="20"/>
              </w:rPr>
              <w:lastRenderedPageBreak/>
              <w:t>A suitable location is located directly outside the facility with suitable underground channelling for the cabling.</w:t>
            </w:r>
          </w:p>
        </w:tc>
      </w:tr>
      <w:tr w:rsidR="00F55631" w:rsidRPr="00905EAF" w:rsidTr="009B179E">
        <w:trPr>
          <w:trHeight w:val="259"/>
        </w:trPr>
        <w:tc>
          <w:tcPr>
            <w:tcW w:w="650" w:type="dxa"/>
            <w:vAlign w:val="center"/>
          </w:tcPr>
          <w:p w:rsidR="00F55631" w:rsidRPr="00905EAF" w:rsidRDefault="00F55631" w:rsidP="009B179E">
            <w:pPr>
              <w:jc w:val="center"/>
              <w:rPr>
                <w:color w:val="auto"/>
                <w:sz w:val="20"/>
              </w:rPr>
            </w:pPr>
            <w:r w:rsidRPr="00905EAF">
              <w:rPr>
                <w:color w:val="auto"/>
                <w:sz w:val="20"/>
              </w:rPr>
              <w:t>9</w:t>
            </w:r>
          </w:p>
        </w:tc>
        <w:tc>
          <w:tcPr>
            <w:tcW w:w="4241" w:type="dxa"/>
            <w:vAlign w:val="center"/>
          </w:tcPr>
          <w:p w:rsidR="00F55631" w:rsidRPr="00905EAF" w:rsidRDefault="00F55631" w:rsidP="009B179E">
            <w:pPr>
              <w:autoSpaceDE w:val="0"/>
              <w:autoSpaceDN w:val="0"/>
              <w:adjustRightInd w:val="0"/>
              <w:jc w:val="center"/>
              <w:rPr>
                <w:b/>
                <w:color w:val="auto"/>
                <w:sz w:val="20"/>
                <w:szCs w:val="20"/>
              </w:rPr>
            </w:pPr>
            <w:r w:rsidRPr="00905EAF">
              <w:rPr>
                <w:color w:val="auto"/>
                <w:sz w:val="20"/>
                <w:szCs w:val="20"/>
              </w:rPr>
              <w:t>Breaker operation can be either local (at the switchgear) or remote</w:t>
            </w:r>
          </w:p>
        </w:tc>
        <w:tc>
          <w:tcPr>
            <w:tcW w:w="4111" w:type="dxa"/>
            <w:vAlign w:val="center"/>
          </w:tcPr>
          <w:p w:rsidR="00F55631" w:rsidRPr="00905EAF" w:rsidRDefault="00F55631" w:rsidP="009B179E">
            <w:pPr>
              <w:jc w:val="center"/>
              <w:rPr>
                <w:color w:val="auto"/>
                <w:sz w:val="20"/>
                <w:szCs w:val="20"/>
              </w:rPr>
            </w:pPr>
            <w:r w:rsidRPr="00905EAF">
              <w:rPr>
                <w:color w:val="auto"/>
                <w:sz w:val="20"/>
                <w:szCs w:val="20"/>
              </w:rPr>
              <w:t>Switchgear will be housed internally in Watt Hanger</w:t>
            </w:r>
          </w:p>
        </w:tc>
      </w:tr>
      <w:tr w:rsidR="00F55631" w:rsidRPr="00905EAF" w:rsidTr="009B179E">
        <w:trPr>
          <w:trHeight w:val="259"/>
        </w:trPr>
        <w:tc>
          <w:tcPr>
            <w:tcW w:w="650" w:type="dxa"/>
            <w:vAlign w:val="center"/>
          </w:tcPr>
          <w:p w:rsidR="00F55631" w:rsidRPr="00905EAF" w:rsidRDefault="00F55631" w:rsidP="009B179E">
            <w:pPr>
              <w:jc w:val="center"/>
              <w:rPr>
                <w:color w:val="auto"/>
                <w:sz w:val="20"/>
              </w:rPr>
            </w:pPr>
            <w:r w:rsidRPr="00905EAF">
              <w:rPr>
                <w:color w:val="auto"/>
                <w:sz w:val="20"/>
              </w:rPr>
              <w:t>10</w:t>
            </w:r>
          </w:p>
        </w:tc>
        <w:tc>
          <w:tcPr>
            <w:tcW w:w="4241" w:type="dxa"/>
            <w:vAlign w:val="center"/>
          </w:tcPr>
          <w:p w:rsidR="00F55631" w:rsidRPr="00905EAF" w:rsidRDefault="00F55631" w:rsidP="009B179E">
            <w:pPr>
              <w:autoSpaceDE w:val="0"/>
              <w:autoSpaceDN w:val="0"/>
              <w:adjustRightInd w:val="0"/>
              <w:spacing w:after="27"/>
              <w:jc w:val="center"/>
              <w:rPr>
                <w:b/>
                <w:color w:val="auto"/>
                <w:sz w:val="20"/>
                <w:szCs w:val="20"/>
              </w:rPr>
            </w:pPr>
            <w:r w:rsidRPr="00905EAF">
              <w:rPr>
                <w:color w:val="auto"/>
                <w:sz w:val="20"/>
                <w:szCs w:val="20"/>
              </w:rPr>
              <w:t xml:space="preserve"> Digital display  will be required providing indication of current, voltage, power factor, active power and reactive power ,breaker status indication and operation pushbutton</w:t>
            </w:r>
          </w:p>
        </w:tc>
        <w:tc>
          <w:tcPr>
            <w:tcW w:w="4111" w:type="dxa"/>
            <w:vAlign w:val="center"/>
          </w:tcPr>
          <w:p w:rsidR="00F55631" w:rsidRPr="00905EAF" w:rsidRDefault="00F55631" w:rsidP="009B179E">
            <w:pPr>
              <w:jc w:val="center"/>
              <w:rPr>
                <w:color w:val="auto"/>
                <w:sz w:val="20"/>
                <w:szCs w:val="20"/>
              </w:rPr>
            </w:pPr>
            <w:r w:rsidRPr="00905EAF">
              <w:rPr>
                <w:color w:val="auto"/>
                <w:sz w:val="20"/>
                <w:szCs w:val="20"/>
              </w:rPr>
              <w:t>A digital display is preferable but other options may be suitable</w:t>
            </w:r>
          </w:p>
        </w:tc>
      </w:tr>
      <w:tr w:rsidR="00F55631" w:rsidRPr="00905EAF" w:rsidTr="009B179E">
        <w:trPr>
          <w:trHeight w:val="259"/>
        </w:trPr>
        <w:tc>
          <w:tcPr>
            <w:tcW w:w="650" w:type="dxa"/>
            <w:vAlign w:val="center"/>
          </w:tcPr>
          <w:p w:rsidR="00F55631" w:rsidRPr="00905EAF" w:rsidRDefault="00F55631" w:rsidP="009B179E">
            <w:pPr>
              <w:jc w:val="center"/>
              <w:rPr>
                <w:color w:val="auto"/>
                <w:sz w:val="20"/>
              </w:rPr>
            </w:pPr>
            <w:r w:rsidRPr="00905EAF">
              <w:rPr>
                <w:color w:val="auto"/>
                <w:sz w:val="20"/>
              </w:rPr>
              <w:t>11</w:t>
            </w:r>
          </w:p>
        </w:tc>
        <w:tc>
          <w:tcPr>
            <w:tcW w:w="4241" w:type="dxa"/>
            <w:vAlign w:val="center"/>
          </w:tcPr>
          <w:p w:rsidR="00F55631" w:rsidRPr="00905EAF" w:rsidRDefault="00F55631" w:rsidP="009B179E">
            <w:pPr>
              <w:autoSpaceDE w:val="0"/>
              <w:autoSpaceDN w:val="0"/>
              <w:adjustRightInd w:val="0"/>
              <w:spacing w:after="27"/>
              <w:jc w:val="center"/>
              <w:rPr>
                <w:color w:val="auto"/>
                <w:sz w:val="20"/>
                <w:szCs w:val="20"/>
              </w:rPr>
            </w:pPr>
            <w:r w:rsidRPr="00905EAF">
              <w:rPr>
                <w:color w:val="auto"/>
                <w:sz w:val="20"/>
                <w:szCs w:val="20"/>
              </w:rPr>
              <w:t>Equipment to be compliant with BS EN 610822006, IEC 60617-2:1996, BS EN 60529-1992. EC Council directive 2006/95/EC</w:t>
            </w:r>
          </w:p>
        </w:tc>
        <w:tc>
          <w:tcPr>
            <w:tcW w:w="4111" w:type="dxa"/>
            <w:vAlign w:val="center"/>
          </w:tcPr>
          <w:p w:rsidR="00F55631" w:rsidRPr="00905EAF" w:rsidRDefault="00F55631" w:rsidP="009B179E">
            <w:pPr>
              <w:jc w:val="center"/>
              <w:rPr>
                <w:color w:val="auto"/>
                <w:sz w:val="20"/>
                <w:szCs w:val="20"/>
              </w:rPr>
            </w:pPr>
          </w:p>
        </w:tc>
      </w:tr>
      <w:tr w:rsidR="00F55631" w:rsidRPr="00905EAF" w:rsidTr="009B179E">
        <w:trPr>
          <w:trHeight w:val="259"/>
        </w:trPr>
        <w:tc>
          <w:tcPr>
            <w:tcW w:w="650" w:type="dxa"/>
            <w:vAlign w:val="center"/>
          </w:tcPr>
          <w:p w:rsidR="00F55631" w:rsidRPr="00905EAF" w:rsidRDefault="00F55631" w:rsidP="009B179E">
            <w:pPr>
              <w:jc w:val="center"/>
              <w:rPr>
                <w:color w:val="auto"/>
                <w:sz w:val="20"/>
              </w:rPr>
            </w:pPr>
            <w:r w:rsidRPr="00905EAF">
              <w:rPr>
                <w:color w:val="auto"/>
                <w:sz w:val="20"/>
              </w:rPr>
              <w:t xml:space="preserve">12 </w:t>
            </w:r>
          </w:p>
        </w:tc>
        <w:tc>
          <w:tcPr>
            <w:tcW w:w="4241" w:type="dxa"/>
            <w:vAlign w:val="center"/>
          </w:tcPr>
          <w:p w:rsidR="00F55631" w:rsidRPr="008C5E2F" w:rsidRDefault="00F55631" w:rsidP="009B179E">
            <w:pPr>
              <w:autoSpaceDE w:val="0"/>
              <w:autoSpaceDN w:val="0"/>
              <w:adjustRightInd w:val="0"/>
              <w:spacing w:after="27"/>
              <w:jc w:val="center"/>
              <w:rPr>
                <w:color w:val="auto"/>
                <w:sz w:val="20"/>
                <w:szCs w:val="20"/>
              </w:rPr>
            </w:pPr>
            <w:r w:rsidRPr="008C5E2F">
              <w:rPr>
                <w:color w:val="auto"/>
                <w:sz w:val="20"/>
                <w:szCs w:val="20"/>
              </w:rPr>
              <w:t>Contractual standards  to be compliant with the following;</w:t>
            </w:r>
          </w:p>
          <w:p w:rsidR="00F55631" w:rsidRPr="008C5E2F" w:rsidRDefault="00F55631" w:rsidP="009B179E">
            <w:pPr>
              <w:jc w:val="both"/>
              <w:rPr>
                <w:color w:val="auto"/>
                <w:sz w:val="20"/>
                <w:szCs w:val="20"/>
              </w:rPr>
            </w:pPr>
          </w:p>
          <w:p w:rsidR="00F55631" w:rsidRPr="008C5E2F" w:rsidRDefault="00F55631" w:rsidP="009B179E">
            <w:pPr>
              <w:jc w:val="both"/>
              <w:rPr>
                <w:color w:val="auto"/>
                <w:sz w:val="20"/>
                <w:szCs w:val="20"/>
              </w:rPr>
            </w:pPr>
            <w:r w:rsidRPr="008C5E2F">
              <w:rPr>
                <w:color w:val="auto"/>
                <w:sz w:val="20"/>
                <w:szCs w:val="20"/>
              </w:rPr>
              <w:t>AQAP 2120 edition 3 (NATO Quality Assurance Requirements for Production)</w:t>
            </w:r>
          </w:p>
          <w:p w:rsidR="00F55631" w:rsidRPr="008C5E2F" w:rsidRDefault="00F55631" w:rsidP="009B179E">
            <w:pPr>
              <w:jc w:val="both"/>
              <w:rPr>
                <w:color w:val="auto"/>
                <w:sz w:val="20"/>
                <w:szCs w:val="20"/>
              </w:rPr>
            </w:pPr>
          </w:p>
          <w:p w:rsidR="00F55631" w:rsidRPr="008C5E2F" w:rsidRDefault="00F55631" w:rsidP="009B179E">
            <w:pPr>
              <w:jc w:val="both"/>
              <w:rPr>
                <w:color w:val="auto"/>
                <w:sz w:val="20"/>
                <w:szCs w:val="20"/>
              </w:rPr>
            </w:pPr>
            <w:r w:rsidRPr="008C5E2F">
              <w:rPr>
                <w:color w:val="auto"/>
                <w:sz w:val="20"/>
                <w:szCs w:val="20"/>
              </w:rPr>
              <w:t xml:space="preserve">AQAP 2210 edition 1 (NATO Supplementary Software Quality Assurance Requirement) </w:t>
            </w:r>
          </w:p>
          <w:p w:rsidR="00F55631" w:rsidRPr="008C5E2F" w:rsidRDefault="00F55631" w:rsidP="009B179E">
            <w:pPr>
              <w:jc w:val="both"/>
              <w:rPr>
                <w:color w:val="auto"/>
                <w:sz w:val="20"/>
                <w:szCs w:val="20"/>
              </w:rPr>
            </w:pPr>
          </w:p>
          <w:p w:rsidR="00F55631" w:rsidRPr="008C5E2F" w:rsidRDefault="00F55631" w:rsidP="009B179E">
            <w:pPr>
              <w:jc w:val="both"/>
              <w:rPr>
                <w:color w:val="auto"/>
                <w:sz w:val="20"/>
                <w:szCs w:val="20"/>
              </w:rPr>
            </w:pPr>
            <w:r w:rsidRPr="008C5E2F">
              <w:rPr>
                <w:color w:val="auto"/>
                <w:sz w:val="20"/>
                <w:szCs w:val="20"/>
              </w:rPr>
              <w:t>DEFSTAN 05-57 issue 6 (Configuration Management of Defence Materiel)</w:t>
            </w:r>
          </w:p>
          <w:p w:rsidR="00F55631" w:rsidRPr="008C5E2F" w:rsidRDefault="00F55631" w:rsidP="009B179E">
            <w:pPr>
              <w:jc w:val="both"/>
              <w:rPr>
                <w:color w:val="auto"/>
                <w:sz w:val="20"/>
                <w:szCs w:val="20"/>
              </w:rPr>
            </w:pPr>
          </w:p>
          <w:p w:rsidR="00F55631" w:rsidRPr="008C5E2F" w:rsidRDefault="00F55631" w:rsidP="009B179E">
            <w:pPr>
              <w:jc w:val="both"/>
              <w:rPr>
                <w:color w:val="auto"/>
                <w:sz w:val="20"/>
                <w:szCs w:val="20"/>
              </w:rPr>
            </w:pPr>
            <w:r w:rsidRPr="008C5E2F">
              <w:rPr>
                <w:color w:val="auto"/>
                <w:sz w:val="20"/>
                <w:szCs w:val="20"/>
              </w:rPr>
              <w:t>DEFSTAN 05-61 part 1 issue 6 (Concessions)</w:t>
            </w:r>
          </w:p>
          <w:p w:rsidR="00F55631" w:rsidRPr="008C5E2F" w:rsidRDefault="00F55631" w:rsidP="009B179E">
            <w:pPr>
              <w:jc w:val="both"/>
              <w:rPr>
                <w:b/>
                <w:color w:val="auto"/>
                <w:sz w:val="20"/>
                <w:szCs w:val="20"/>
              </w:rPr>
            </w:pPr>
          </w:p>
          <w:p w:rsidR="00F55631" w:rsidRPr="008C5E2F" w:rsidRDefault="00F55631" w:rsidP="009B179E">
            <w:pPr>
              <w:jc w:val="both"/>
              <w:rPr>
                <w:color w:val="auto"/>
                <w:sz w:val="20"/>
                <w:szCs w:val="20"/>
              </w:rPr>
            </w:pPr>
            <w:r w:rsidRPr="008C5E2F">
              <w:rPr>
                <w:color w:val="auto"/>
                <w:sz w:val="20"/>
                <w:szCs w:val="20"/>
              </w:rPr>
              <w:t>DEFSTAN 05-61 Part 4 Issue 3 and Amendment 1 28/01/11 (Contractor Working Parties)</w:t>
            </w:r>
          </w:p>
          <w:p w:rsidR="00F55631" w:rsidRPr="008C5E2F" w:rsidRDefault="00F55631" w:rsidP="009B179E">
            <w:pPr>
              <w:jc w:val="both"/>
              <w:rPr>
                <w:color w:val="auto"/>
                <w:sz w:val="20"/>
                <w:szCs w:val="20"/>
              </w:rPr>
            </w:pPr>
          </w:p>
          <w:p w:rsidR="00F55631" w:rsidRPr="008C5E2F" w:rsidRDefault="00F55631" w:rsidP="009B179E">
            <w:pPr>
              <w:autoSpaceDE w:val="0"/>
              <w:autoSpaceDN w:val="0"/>
              <w:adjustRightInd w:val="0"/>
              <w:spacing w:after="27"/>
              <w:rPr>
                <w:color w:val="auto"/>
                <w:sz w:val="20"/>
                <w:szCs w:val="20"/>
              </w:rPr>
            </w:pPr>
            <w:r w:rsidRPr="008C5E2F">
              <w:rPr>
                <w:color w:val="auto"/>
                <w:sz w:val="20"/>
                <w:szCs w:val="20"/>
              </w:rPr>
              <w:t>DEFSTAN 05-135 Issue 1 Avoidance of Counterfeit Material.</w:t>
            </w:r>
          </w:p>
          <w:p w:rsidR="00E917E5" w:rsidRPr="008C5E2F" w:rsidRDefault="00E917E5" w:rsidP="009B179E">
            <w:pPr>
              <w:autoSpaceDE w:val="0"/>
              <w:autoSpaceDN w:val="0"/>
              <w:adjustRightInd w:val="0"/>
              <w:spacing w:after="27"/>
              <w:rPr>
                <w:color w:val="auto"/>
                <w:sz w:val="20"/>
                <w:szCs w:val="20"/>
              </w:rPr>
            </w:pPr>
          </w:p>
          <w:p w:rsidR="00E917E5" w:rsidRPr="008C5E2F" w:rsidRDefault="00E917E5" w:rsidP="009B179E">
            <w:pPr>
              <w:autoSpaceDE w:val="0"/>
              <w:autoSpaceDN w:val="0"/>
              <w:adjustRightInd w:val="0"/>
              <w:spacing w:after="27"/>
              <w:rPr>
                <w:color w:val="auto"/>
                <w:sz w:val="20"/>
                <w:szCs w:val="20"/>
              </w:rPr>
            </w:pPr>
            <w:r w:rsidRPr="008C5E2F">
              <w:rPr>
                <w:color w:val="auto"/>
                <w:sz w:val="20"/>
                <w:szCs w:val="20"/>
              </w:rPr>
              <w:t>ISO 9001 Accreditation</w:t>
            </w:r>
          </w:p>
          <w:p w:rsidR="00E917E5" w:rsidRPr="008C5E2F" w:rsidRDefault="00E917E5" w:rsidP="009B179E">
            <w:pPr>
              <w:autoSpaceDE w:val="0"/>
              <w:autoSpaceDN w:val="0"/>
              <w:adjustRightInd w:val="0"/>
              <w:spacing w:after="27"/>
              <w:rPr>
                <w:color w:val="auto"/>
                <w:sz w:val="20"/>
                <w:szCs w:val="20"/>
              </w:rPr>
            </w:pPr>
          </w:p>
          <w:p w:rsidR="00141AEA" w:rsidRPr="008C5E2F" w:rsidRDefault="00E917E5" w:rsidP="009B179E">
            <w:pPr>
              <w:autoSpaceDE w:val="0"/>
              <w:autoSpaceDN w:val="0"/>
              <w:adjustRightInd w:val="0"/>
              <w:spacing w:after="27"/>
              <w:rPr>
                <w:color w:val="auto"/>
                <w:sz w:val="20"/>
                <w:szCs w:val="20"/>
              </w:rPr>
            </w:pPr>
            <w:r w:rsidRPr="008C5E2F">
              <w:rPr>
                <w:color w:val="auto"/>
                <w:sz w:val="20"/>
                <w:szCs w:val="20"/>
              </w:rPr>
              <w:t>NICEIC (</w:t>
            </w:r>
            <w:r w:rsidRPr="008C5E2F">
              <w:rPr>
                <w:color w:val="auto"/>
              </w:rPr>
              <w:t>approval and registration/certification)</w:t>
            </w:r>
          </w:p>
          <w:p w:rsidR="00141AEA" w:rsidRPr="008C5E2F" w:rsidRDefault="00141AEA" w:rsidP="009B179E">
            <w:pPr>
              <w:autoSpaceDE w:val="0"/>
              <w:autoSpaceDN w:val="0"/>
              <w:adjustRightInd w:val="0"/>
              <w:spacing w:after="27"/>
              <w:rPr>
                <w:color w:val="auto"/>
                <w:sz w:val="20"/>
                <w:szCs w:val="20"/>
              </w:rPr>
            </w:pPr>
          </w:p>
        </w:tc>
        <w:tc>
          <w:tcPr>
            <w:tcW w:w="4111" w:type="dxa"/>
            <w:vAlign w:val="center"/>
          </w:tcPr>
          <w:p w:rsidR="00F55631" w:rsidRPr="008C5E2F" w:rsidRDefault="00E13981" w:rsidP="008C5E2F">
            <w:pPr>
              <w:jc w:val="both"/>
              <w:rPr>
                <w:color w:val="auto"/>
                <w:sz w:val="20"/>
                <w:szCs w:val="20"/>
              </w:rPr>
            </w:pPr>
            <w:r w:rsidRPr="008C5E2F">
              <w:rPr>
                <w:color w:val="auto"/>
              </w:rPr>
              <w:t>Following contract award t</w:t>
            </w:r>
            <w:r w:rsidR="00141AEA" w:rsidRPr="008C5E2F">
              <w:rPr>
                <w:color w:val="auto"/>
              </w:rPr>
              <w:t>he successful</w:t>
            </w:r>
            <w:r w:rsidRPr="008C5E2F">
              <w:rPr>
                <w:color w:val="auto"/>
              </w:rPr>
              <w:t xml:space="preserve"> supplier may </w:t>
            </w:r>
            <w:r w:rsidR="00141AEA" w:rsidRPr="008C5E2F">
              <w:rPr>
                <w:color w:val="auto"/>
              </w:rPr>
              <w:t xml:space="preserve">undertake </w:t>
            </w:r>
            <w:r w:rsidRPr="008C5E2F">
              <w:rPr>
                <w:color w:val="auto"/>
              </w:rPr>
              <w:t>a visit and survey the location</w:t>
            </w:r>
            <w:r w:rsidR="00141AEA" w:rsidRPr="008C5E2F">
              <w:rPr>
                <w:color w:val="auto"/>
              </w:rPr>
              <w:t xml:space="preserve"> to where the equipment to be installed.</w:t>
            </w:r>
          </w:p>
        </w:tc>
      </w:tr>
      <w:tr w:rsidR="00F55631" w:rsidRPr="00905EAF" w:rsidTr="009B179E">
        <w:trPr>
          <w:trHeight w:val="259"/>
        </w:trPr>
        <w:tc>
          <w:tcPr>
            <w:tcW w:w="650" w:type="dxa"/>
            <w:tcBorders>
              <w:bottom w:val="single" w:sz="4" w:space="0" w:color="auto"/>
            </w:tcBorders>
            <w:vAlign w:val="center"/>
          </w:tcPr>
          <w:p w:rsidR="00F55631" w:rsidRPr="00905EAF" w:rsidRDefault="00F55631" w:rsidP="009B179E">
            <w:pPr>
              <w:jc w:val="center"/>
              <w:rPr>
                <w:color w:val="auto"/>
                <w:sz w:val="20"/>
              </w:rPr>
            </w:pPr>
            <w:r>
              <w:rPr>
                <w:color w:val="auto"/>
                <w:sz w:val="20"/>
              </w:rPr>
              <w:t xml:space="preserve">13 </w:t>
            </w:r>
          </w:p>
        </w:tc>
        <w:tc>
          <w:tcPr>
            <w:tcW w:w="4241" w:type="dxa"/>
            <w:tcBorders>
              <w:bottom w:val="single" w:sz="4" w:space="0" w:color="auto"/>
            </w:tcBorders>
            <w:vAlign w:val="center"/>
          </w:tcPr>
          <w:p w:rsidR="00F55631" w:rsidRDefault="00F55631" w:rsidP="009B179E">
            <w:pPr>
              <w:autoSpaceDE w:val="0"/>
              <w:autoSpaceDN w:val="0"/>
              <w:adjustRightInd w:val="0"/>
              <w:spacing w:after="27"/>
              <w:rPr>
                <w:color w:val="auto"/>
                <w:sz w:val="20"/>
                <w:szCs w:val="20"/>
              </w:rPr>
            </w:pPr>
            <w:r>
              <w:rPr>
                <w:color w:val="auto"/>
                <w:sz w:val="20"/>
                <w:szCs w:val="20"/>
              </w:rPr>
              <w:t xml:space="preserve">The acceptance criteria will be a demonstration that the installation can provide load in 1% steps to 1750 </w:t>
            </w:r>
            <w:proofErr w:type="spellStart"/>
            <w:r>
              <w:rPr>
                <w:color w:val="auto"/>
                <w:sz w:val="20"/>
                <w:szCs w:val="20"/>
              </w:rPr>
              <w:t>KVa</w:t>
            </w:r>
            <w:proofErr w:type="spellEnd"/>
            <w:r>
              <w:rPr>
                <w:color w:val="auto"/>
                <w:sz w:val="20"/>
                <w:szCs w:val="20"/>
              </w:rPr>
              <w:t xml:space="preserve"> at 600 V and remain at 100% for 2 hours and reduce in 1% steps to zero </w:t>
            </w:r>
          </w:p>
          <w:p w:rsidR="00F55631" w:rsidRDefault="00F55631" w:rsidP="009B179E">
            <w:pPr>
              <w:autoSpaceDE w:val="0"/>
              <w:autoSpaceDN w:val="0"/>
              <w:adjustRightInd w:val="0"/>
              <w:spacing w:after="27"/>
              <w:rPr>
                <w:color w:val="auto"/>
                <w:sz w:val="20"/>
                <w:szCs w:val="20"/>
              </w:rPr>
            </w:pPr>
            <w:r>
              <w:rPr>
                <w:color w:val="auto"/>
                <w:sz w:val="20"/>
                <w:szCs w:val="20"/>
              </w:rPr>
              <w:t xml:space="preserve">The installation must also provide load in 1% steps to 1250 </w:t>
            </w:r>
            <w:proofErr w:type="spellStart"/>
            <w:r>
              <w:rPr>
                <w:color w:val="auto"/>
                <w:sz w:val="20"/>
                <w:szCs w:val="20"/>
              </w:rPr>
              <w:t>KVa</w:t>
            </w:r>
            <w:proofErr w:type="spellEnd"/>
            <w:r>
              <w:rPr>
                <w:color w:val="auto"/>
                <w:sz w:val="20"/>
                <w:szCs w:val="20"/>
              </w:rPr>
              <w:t xml:space="preserve"> at 440 V and remain at 100% for 2 hours and reduce in 1% steps to zero </w:t>
            </w:r>
          </w:p>
          <w:p w:rsidR="00F55631" w:rsidRDefault="00F55631" w:rsidP="009B179E">
            <w:pPr>
              <w:autoSpaceDE w:val="0"/>
              <w:autoSpaceDN w:val="0"/>
              <w:adjustRightInd w:val="0"/>
              <w:spacing w:after="27"/>
              <w:rPr>
                <w:color w:val="auto"/>
                <w:sz w:val="20"/>
                <w:szCs w:val="20"/>
              </w:rPr>
            </w:pPr>
          </w:p>
        </w:tc>
        <w:tc>
          <w:tcPr>
            <w:tcW w:w="4111" w:type="dxa"/>
            <w:tcBorders>
              <w:bottom w:val="single" w:sz="4" w:space="0" w:color="auto"/>
            </w:tcBorders>
            <w:vAlign w:val="center"/>
          </w:tcPr>
          <w:p w:rsidR="00F55631" w:rsidRPr="00905EAF" w:rsidRDefault="00BA5D69" w:rsidP="00E13981">
            <w:pPr>
              <w:jc w:val="both"/>
              <w:rPr>
                <w:color w:val="auto"/>
                <w:sz w:val="20"/>
                <w:szCs w:val="20"/>
              </w:rPr>
            </w:pPr>
            <w:r>
              <w:rPr>
                <w:color w:val="auto"/>
                <w:sz w:val="20"/>
                <w:szCs w:val="20"/>
              </w:rPr>
              <w:t>A certificate of conformity will be required as a condition of acceptance</w:t>
            </w:r>
            <w:r w:rsidR="00F55631">
              <w:rPr>
                <w:color w:val="auto"/>
                <w:sz w:val="20"/>
                <w:szCs w:val="20"/>
              </w:rPr>
              <w:t xml:space="preserve"> </w:t>
            </w:r>
          </w:p>
        </w:tc>
      </w:tr>
    </w:tbl>
    <w:p w:rsidR="00F55631" w:rsidRPr="00905EAF" w:rsidRDefault="00F55631" w:rsidP="00F55631">
      <w:pPr>
        <w:spacing w:before="240" w:after="240"/>
        <w:rPr>
          <w:b/>
          <w:color w:val="auto"/>
        </w:rPr>
      </w:pPr>
      <w:r w:rsidRPr="00905EAF">
        <w:rPr>
          <w:b/>
          <w:color w:val="auto"/>
        </w:rPr>
        <w:t>Other Deliverables</w:t>
      </w:r>
    </w:p>
    <w:p w:rsidR="00F55631" w:rsidRPr="00905EAF" w:rsidRDefault="00F55631" w:rsidP="00F55631">
      <w:pPr>
        <w:pStyle w:val="ListParagraph"/>
        <w:widowControl/>
        <w:numPr>
          <w:ilvl w:val="0"/>
          <w:numId w:val="1"/>
        </w:numPr>
        <w:tabs>
          <w:tab w:val="left" w:pos="567"/>
        </w:tabs>
        <w:spacing w:after="240"/>
        <w:jc w:val="both"/>
        <w:rPr>
          <w:rFonts w:ascii="Arial" w:hAnsi="Arial"/>
          <w:color w:val="auto"/>
        </w:rPr>
      </w:pPr>
      <w:bookmarkStart w:id="3" w:name="_Ref483477311"/>
      <w:r w:rsidRPr="00905EAF">
        <w:rPr>
          <w:rFonts w:ascii="Arial" w:hAnsi="Arial"/>
          <w:color w:val="auto"/>
        </w:rPr>
        <w:t xml:space="preserve">In addition to the load bank the other following outputs are to be delivered as detailed at Table </w:t>
      </w:r>
      <w:r w:rsidRPr="00905EAF">
        <w:rPr>
          <w:rFonts w:ascii="Arial" w:hAnsi="Arial"/>
          <w:i/>
          <w:noProof/>
          <w:color w:val="auto"/>
        </w:rPr>
        <w:t>2</w:t>
      </w:r>
      <w:r w:rsidRPr="00905EAF">
        <w:rPr>
          <w:rFonts w:ascii="Arial" w:hAnsi="Arial"/>
          <w:color w:val="auto"/>
        </w:rPr>
        <w:t xml:space="preserve"> below.</w:t>
      </w:r>
      <w:bookmarkEnd w:id="3"/>
    </w:p>
    <w:p w:rsidR="00F55631" w:rsidRPr="00905EAF" w:rsidRDefault="00F55631" w:rsidP="00F55631">
      <w:pPr>
        <w:pStyle w:val="Caption"/>
        <w:keepNext/>
        <w:spacing w:after="0"/>
        <w:rPr>
          <w:b/>
          <w:i w:val="0"/>
          <w:color w:val="auto"/>
          <w:sz w:val="22"/>
          <w:szCs w:val="22"/>
        </w:rPr>
      </w:pPr>
      <w:bookmarkStart w:id="4" w:name="_Ref483472565"/>
      <w:r w:rsidRPr="00905EAF">
        <w:rPr>
          <w:b/>
          <w:i w:val="0"/>
          <w:color w:val="auto"/>
          <w:sz w:val="22"/>
          <w:szCs w:val="22"/>
        </w:rPr>
        <w:lastRenderedPageBreak/>
        <w:t xml:space="preserve">Table </w:t>
      </w:r>
      <w:r w:rsidRPr="00905EAF">
        <w:rPr>
          <w:b/>
          <w:i w:val="0"/>
          <w:noProof/>
          <w:color w:val="auto"/>
          <w:sz w:val="22"/>
          <w:szCs w:val="22"/>
        </w:rPr>
        <w:t>2</w:t>
      </w:r>
      <w:bookmarkEnd w:id="4"/>
      <w:r w:rsidRPr="00905EAF">
        <w:rPr>
          <w:b/>
          <w:i w:val="0"/>
          <w:color w:val="auto"/>
          <w:sz w:val="22"/>
          <w:szCs w:val="22"/>
        </w:rPr>
        <w:t xml:space="preserve"> - Other Deliverables</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0"/>
        <w:gridCol w:w="4241"/>
        <w:gridCol w:w="4111"/>
      </w:tblGrid>
      <w:tr w:rsidR="00F55631" w:rsidRPr="00905EAF" w:rsidTr="009B179E">
        <w:trPr>
          <w:trHeight w:val="491"/>
          <w:tblHeader/>
        </w:trPr>
        <w:tc>
          <w:tcPr>
            <w:tcW w:w="650" w:type="dxa"/>
            <w:vAlign w:val="center"/>
          </w:tcPr>
          <w:p w:rsidR="00F55631" w:rsidRPr="00905EAF" w:rsidRDefault="00F55631" w:rsidP="009B179E">
            <w:pPr>
              <w:jc w:val="center"/>
              <w:rPr>
                <w:b/>
                <w:color w:val="auto"/>
                <w:sz w:val="20"/>
              </w:rPr>
            </w:pPr>
            <w:r w:rsidRPr="00905EAF">
              <w:rPr>
                <w:b/>
                <w:color w:val="auto"/>
                <w:sz w:val="20"/>
              </w:rPr>
              <w:t>Ref</w:t>
            </w:r>
          </w:p>
        </w:tc>
        <w:tc>
          <w:tcPr>
            <w:tcW w:w="4241" w:type="dxa"/>
            <w:vAlign w:val="center"/>
          </w:tcPr>
          <w:p w:rsidR="00F55631" w:rsidRPr="00905EAF" w:rsidRDefault="00F55631" w:rsidP="009B179E">
            <w:pPr>
              <w:jc w:val="center"/>
              <w:rPr>
                <w:b/>
                <w:color w:val="auto"/>
                <w:sz w:val="20"/>
              </w:rPr>
            </w:pPr>
            <w:r w:rsidRPr="00905EAF">
              <w:rPr>
                <w:b/>
                <w:color w:val="auto"/>
                <w:sz w:val="20"/>
              </w:rPr>
              <w:t>Requirement</w:t>
            </w:r>
          </w:p>
        </w:tc>
        <w:tc>
          <w:tcPr>
            <w:tcW w:w="4111" w:type="dxa"/>
            <w:vAlign w:val="center"/>
          </w:tcPr>
          <w:p w:rsidR="00F55631" w:rsidRPr="00905EAF" w:rsidRDefault="00F55631" w:rsidP="009B179E">
            <w:pPr>
              <w:jc w:val="center"/>
              <w:rPr>
                <w:b/>
                <w:color w:val="auto"/>
                <w:sz w:val="20"/>
              </w:rPr>
            </w:pPr>
            <w:r w:rsidRPr="00905EAF">
              <w:rPr>
                <w:b/>
                <w:color w:val="auto"/>
                <w:sz w:val="20"/>
              </w:rPr>
              <w:t>Additional Information</w:t>
            </w:r>
          </w:p>
        </w:tc>
      </w:tr>
      <w:tr w:rsidR="00F55631" w:rsidRPr="00905EAF" w:rsidTr="009B179E">
        <w:trPr>
          <w:trHeight w:val="259"/>
        </w:trPr>
        <w:tc>
          <w:tcPr>
            <w:tcW w:w="650" w:type="dxa"/>
            <w:vAlign w:val="center"/>
          </w:tcPr>
          <w:p w:rsidR="00F55631" w:rsidRPr="00905EAF" w:rsidRDefault="00F55631" w:rsidP="009B179E">
            <w:pPr>
              <w:jc w:val="center"/>
              <w:rPr>
                <w:color w:val="auto"/>
                <w:sz w:val="20"/>
              </w:rPr>
            </w:pPr>
            <w:r w:rsidRPr="00905EAF">
              <w:rPr>
                <w:color w:val="auto"/>
                <w:sz w:val="20"/>
              </w:rPr>
              <w:t>1</w:t>
            </w:r>
          </w:p>
        </w:tc>
        <w:tc>
          <w:tcPr>
            <w:tcW w:w="4241" w:type="dxa"/>
            <w:vAlign w:val="center"/>
          </w:tcPr>
          <w:p w:rsidR="00F55631" w:rsidRPr="00905EAF" w:rsidRDefault="00F55631" w:rsidP="009B179E">
            <w:pPr>
              <w:jc w:val="center"/>
              <w:rPr>
                <w:b/>
                <w:color w:val="auto"/>
                <w:sz w:val="20"/>
              </w:rPr>
            </w:pPr>
            <w:r w:rsidRPr="00905EAF">
              <w:rPr>
                <w:color w:val="auto"/>
                <w:sz w:val="20"/>
                <w:szCs w:val="20"/>
              </w:rPr>
              <w:t xml:space="preserve">Manufacturer to supply significant operator training to DSMarE instructors to facilitate safe and efficient operation of the equipment </w:t>
            </w:r>
          </w:p>
        </w:tc>
        <w:tc>
          <w:tcPr>
            <w:tcW w:w="4111" w:type="dxa"/>
            <w:vAlign w:val="center"/>
          </w:tcPr>
          <w:p w:rsidR="00F55631" w:rsidRPr="00905EAF" w:rsidRDefault="00F55631" w:rsidP="009B179E">
            <w:pPr>
              <w:jc w:val="center"/>
              <w:rPr>
                <w:color w:val="auto"/>
                <w:sz w:val="20"/>
              </w:rPr>
            </w:pPr>
            <w:r w:rsidRPr="00905EAF">
              <w:rPr>
                <w:color w:val="auto"/>
                <w:sz w:val="20"/>
                <w:szCs w:val="20"/>
              </w:rPr>
              <w:t>1/2 Day would be considered sufficient</w:t>
            </w:r>
          </w:p>
        </w:tc>
      </w:tr>
      <w:tr w:rsidR="00F55631" w:rsidRPr="00905EAF" w:rsidTr="009B179E">
        <w:trPr>
          <w:trHeight w:val="259"/>
        </w:trPr>
        <w:tc>
          <w:tcPr>
            <w:tcW w:w="650" w:type="dxa"/>
            <w:vAlign w:val="center"/>
          </w:tcPr>
          <w:p w:rsidR="00F55631" w:rsidRPr="00905EAF" w:rsidRDefault="00F55631" w:rsidP="009B179E">
            <w:pPr>
              <w:jc w:val="center"/>
              <w:rPr>
                <w:color w:val="auto"/>
                <w:sz w:val="20"/>
              </w:rPr>
            </w:pPr>
            <w:r w:rsidRPr="00905EAF">
              <w:rPr>
                <w:color w:val="auto"/>
                <w:sz w:val="20"/>
              </w:rPr>
              <w:t>2</w:t>
            </w:r>
          </w:p>
        </w:tc>
        <w:tc>
          <w:tcPr>
            <w:tcW w:w="4241" w:type="dxa"/>
            <w:vAlign w:val="center"/>
          </w:tcPr>
          <w:p w:rsidR="00F55631" w:rsidRPr="00905EAF" w:rsidRDefault="00F55631" w:rsidP="009B179E">
            <w:pPr>
              <w:jc w:val="center"/>
              <w:rPr>
                <w:color w:val="auto"/>
                <w:sz w:val="20"/>
                <w:szCs w:val="20"/>
              </w:rPr>
            </w:pPr>
            <w:r w:rsidRPr="00905EAF">
              <w:rPr>
                <w:color w:val="auto"/>
                <w:sz w:val="20"/>
                <w:szCs w:val="20"/>
              </w:rPr>
              <w:t>Manufacturer’s warranty for load bank</w:t>
            </w:r>
          </w:p>
        </w:tc>
        <w:tc>
          <w:tcPr>
            <w:tcW w:w="4111" w:type="dxa"/>
            <w:vAlign w:val="center"/>
          </w:tcPr>
          <w:p w:rsidR="00F55631" w:rsidRPr="00905EAF" w:rsidRDefault="00F55631" w:rsidP="009B179E">
            <w:pPr>
              <w:jc w:val="center"/>
              <w:rPr>
                <w:color w:val="auto"/>
                <w:sz w:val="20"/>
                <w:szCs w:val="20"/>
              </w:rPr>
            </w:pPr>
            <w:r w:rsidRPr="00905EAF">
              <w:rPr>
                <w:color w:val="auto"/>
                <w:sz w:val="20"/>
                <w:szCs w:val="20"/>
              </w:rPr>
              <w:t>1 year warranty</w:t>
            </w:r>
          </w:p>
        </w:tc>
      </w:tr>
      <w:tr w:rsidR="00F55631" w:rsidRPr="00905EAF" w:rsidTr="009B179E">
        <w:trPr>
          <w:trHeight w:val="259"/>
        </w:trPr>
        <w:tc>
          <w:tcPr>
            <w:tcW w:w="650" w:type="dxa"/>
            <w:vAlign w:val="center"/>
          </w:tcPr>
          <w:p w:rsidR="00F55631" w:rsidRPr="00905EAF" w:rsidRDefault="00F55631" w:rsidP="009B179E">
            <w:pPr>
              <w:jc w:val="center"/>
              <w:rPr>
                <w:color w:val="auto"/>
                <w:sz w:val="20"/>
              </w:rPr>
            </w:pPr>
            <w:r w:rsidRPr="00905EAF">
              <w:rPr>
                <w:color w:val="auto"/>
                <w:sz w:val="20"/>
              </w:rPr>
              <w:t>3</w:t>
            </w:r>
          </w:p>
        </w:tc>
        <w:tc>
          <w:tcPr>
            <w:tcW w:w="4241" w:type="dxa"/>
            <w:vAlign w:val="center"/>
          </w:tcPr>
          <w:p w:rsidR="00F55631" w:rsidRPr="00905EAF" w:rsidRDefault="00F55631" w:rsidP="009B179E">
            <w:pPr>
              <w:jc w:val="center"/>
              <w:rPr>
                <w:color w:val="auto"/>
                <w:sz w:val="20"/>
                <w:szCs w:val="20"/>
              </w:rPr>
            </w:pPr>
            <w:r w:rsidRPr="00905EAF">
              <w:rPr>
                <w:color w:val="auto"/>
                <w:sz w:val="20"/>
                <w:szCs w:val="20"/>
              </w:rPr>
              <w:t>Maintenance of load bank including programme of maintenance</w:t>
            </w:r>
          </w:p>
        </w:tc>
        <w:tc>
          <w:tcPr>
            <w:tcW w:w="4111" w:type="dxa"/>
            <w:vAlign w:val="center"/>
          </w:tcPr>
          <w:p w:rsidR="00F55631" w:rsidRPr="00905EAF" w:rsidRDefault="00F55631" w:rsidP="009B179E">
            <w:pPr>
              <w:jc w:val="center"/>
              <w:rPr>
                <w:color w:val="auto"/>
                <w:sz w:val="20"/>
                <w:szCs w:val="20"/>
              </w:rPr>
            </w:pPr>
            <w:r w:rsidRPr="00905EAF">
              <w:rPr>
                <w:color w:val="auto"/>
                <w:sz w:val="20"/>
                <w:szCs w:val="20"/>
              </w:rPr>
              <w:t>2 years of maintenance of the load bank</w:t>
            </w:r>
          </w:p>
        </w:tc>
      </w:tr>
    </w:tbl>
    <w:p w:rsidR="00F55631" w:rsidRPr="00905EAF" w:rsidRDefault="00F55631" w:rsidP="00F55631">
      <w:pPr>
        <w:pStyle w:val="ListParagraph"/>
        <w:spacing w:after="240"/>
        <w:rPr>
          <w:rFonts w:ascii="Arial" w:hAnsi="Arial"/>
          <w:color w:val="auto"/>
        </w:rPr>
      </w:pPr>
    </w:p>
    <w:p w:rsidR="00A76217" w:rsidRDefault="00A76217"/>
    <w:sectPr w:rsidR="00A76217">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4C1D" w:rsidRDefault="00734C1D" w:rsidP="00F55631">
      <w:r>
        <w:separator/>
      </w:r>
    </w:p>
  </w:endnote>
  <w:endnote w:type="continuationSeparator" w:id="0">
    <w:p w:rsidR="00734C1D" w:rsidRDefault="00734C1D" w:rsidP="00F55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66CE" w:rsidRDefault="004B66C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35A7" w:rsidRPr="00BD35A7" w:rsidRDefault="00BD35A7" w:rsidP="00BD35A7">
    <w:pPr>
      <w:pStyle w:val="Footer"/>
      <w:jc w:val="center"/>
      <w:rPr>
        <w:color w:val="auto"/>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66CE" w:rsidRDefault="004B66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4C1D" w:rsidRDefault="00734C1D" w:rsidP="00F55631">
      <w:r>
        <w:separator/>
      </w:r>
    </w:p>
  </w:footnote>
  <w:footnote w:type="continuationSeparator" w:id="0">
    <w:p w:rsidR="00734C1D" w:rsidRDefault="00734C1D" w:rsidP="00F55631">
      <w:r>
        <w:continuationSeparator/>
      </w:r>
    </w:p>
  </w:footnote>
  <w:footnote w:id="1">
    <w:p w:rsidR="00F55631" w:rsidRPr="00EB1460" w:rsidRDefault="00F55631" w:rsidP="00F55631">
      <w:pPr>
        <w:pStyle w:val="FootnoteText"/>
        <w:rPr>
          <w:color w:val="auto"/>
          <w:sz w:val="18"/>
          <w:szCs w:val="18"/>
        </w:rPr>
      </w:pPr>
      <w:r w:rsidRPr="00EB1460">
        <w:rPr>
          <w:rStyle w:val="FootnoteReference"/>
          <w:color w:val="auto"/>
          <w:sz w:val="18"/>
          <w:szCs w:val="18"/>
        </w:rPr>
        <w:footnoteRef/>
      </w:r>
      <w:r w:rsidRPr="00EB1460">
        <w:rPr>
          <w:color w:val="auto"/>
          <w:sz w:val="18"/>
          <w:szCs w:val="18"/>
        </w:rPr>
        <w:t xml:space="preserve"> This is exactly the same fit as found on serving platforms (post-PGMU T23).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66CE" w:rsidRDefault="004B66C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35A7" w:rsidRPr="00BD35A7" w:rsidRDefault="00BD35A7" w:rsidP="00BD35A7">
    <w:pPr>
      <w:pStyle w:val="Header"/>
      <w:jc w:val="center"/>
      <w:rPr>
        <w:color w:val="auto"/>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66CE" w:rsidRDefault="004B66C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EDE6CD5"/>
    <w:multiLevelType w:val="multilevel"/>
    <w:tmpl w:val="2B5CE78A"/>
    <w:lvl w:ilvl="0">
      <w:start w:val="1"/>
      <w:numFmt w:val="decimal"/>
      <w:lvlText w:val="%1."/>
      <w:lvlJc w:val="left"/>
      <w:pPr>
        <w:tabs>
          <w:tab w:val="num" w:pos="567"/>
        </w:tabs>
        <w:ind w:left="0" w:firstLine="0"/>
      </w:pPr>
      <w:rPr>
        <w:rFonts w:ascii="Arial" w:hAnsi="Arial" w:cs="Arial" w:hint="default"/>
        <w:b w:val="0"/>
        <w:i w:val="0"/>
        <w:color w:val="auto"/>
        <w:sz w:val="22"/>
        <w:szCs w:val="22"/>
      </w:rPr>
    </w:lvl>
    <w:lvl w:ilvl="1">
      <w:start w:val="1"/>
      <w:numFmt w:val="lowerLetter"/>
      <w:lvlText w:val="%2."/>
      <w:lvlJc w:val="left"/>
      <w:pPr>
        <w:tabs>
          <w:tab w:val="num" w:pos="1134"/>
        </w:tabs>
        <w:ind w:left="567" w:firstLine="0"/>
      </w:pPr>
      <w:rPr>
        <w:rFonts w:hint="default"/>
        <w:b w:val="0"/>
        <w:i w:val="0"/>
        <w:color w:val="auto"/>
      </w:rPr>
    </w:lvl>
    <w:lvl w:ilvl="2">
      <w:start w:val="1"/>
      <w:numFmt w:val="decimal"/>
      <w:lvlText w:val="(%3)"/>
      <w:lvlJc w:val="left"/>
      <w:pPr>
        <w:tabs>
          <w:tab w:val="num" w:pos="1701"/>
        </w:tabs>
        <w:ind w:left="1134" w:firstLine="0"/>
      </w:pPr>
      <w:rPr>
        <w:rFonts w:hint="default"/>
        <w:b w:val="0"/>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lowerRoman"/>
      <w:lvlText w:val="(%6)"/>
      <w:lvlJc w:val="left"/>
      <w:pPr>
        <w:tabs>
          <w:tab w:val="num" w:pos="3402"/>
        </w:tabs>
        <w:ind w:left="2835" w:firstLine="0"/>
      </w:pPr>
      <w:rPr>
        <w:rFonts w:hint="default"/>
      </w:rPr>
    </w:lvl>
    <w:lvl w:ilvl="6">
      <w:start w:val="1"/>
      <w:numFmt w:val="decimal"/>
      <w:lvlText w:val="%7."/>
      <w:lvlJc w:val="left"/>
      <w:pPr>
        <w:tabs>
          <w:tab w:val="num" w:pos="3969"/>
        </w:tabs>
        <w:ind w:left="3402" w:firstLine="0"/>
      </w:pPr>
      <w:rPr>
        <w:rFonts w:hint="default"/>
      </w:rPr>
    </w:lvl>
    <w:lvl w:ilvl="7">
      <w:start w:val="1"/>
      <w:numFmt w:val="lowerLetter"/>
      <w:lvlText w:val="%8."/>
      <w:lvlJc w:val="left"/>
      <w:pPr>
        <w:tabs>
          <w:tab w:val="num" w:pos="4536"/>
        </w:tabs>
        <w:ind w:left="3969" w:firstLine="0"/>
      </w:pPr>
      <w:rPr>
        <w:rFonts w:hint="default"/>
      </w:rPr>
    </w:lvl>
    <w:lvl w:ilvl="8">
      <w:start w:val="1"/>
      <w:numFmt w:val="lowerRoman"/>
      <w:lvlText w:val="%9."/>
      <w:lvlJc w:val="left"/>
      <w:pPr>
        <w:tabs>
          <w:tab w:val="num" w:pos="5103"/>
        </w:tabs>
        <w:ind w:left="4536"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631"/>
    <w:rsid w:val="00141AEA"/>
    <w:rsid w:val="00141CAA"/>
    <w:rsid w:val="00190351"/>
    <w:rsid w:val="0019643F"/>
    <w:rsid w:val="001B6373"/>
    <w:rsid w:val="00477DC1"/>
    <w:rsid w:val="004B66CE"/>
    <w:rsid w:val="00520259"/>
    <w:rsid w:val="00662C6C"/>
    <w:rsid w:val="006A6E5A"/>
    <w:rsid w:val="00734C1D"/>
    <w:rsid w:val="008C5E2F"/>
    <w:rsid w:val="00A473C4"/>
    <w:rsid w:val="00A76217"/>
    <w:rsid w:val="00B83451"/>
    <w:rsid w:val="00BA5D69"/>
    <w:rsid w:val="00BB53B9"/>
    <w:rsid w:val="00BD35A7"/>
    <w:rsid w:val="00E13981"/>
    <w:rsid w:val="00E917E5"/>
    <w:rsid w:val="00F00D7C"/>
    <w:rsid w:val="00F556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2FC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5631"/>
    <w:pPr>
      <w:spacing w:after="0" w:line="240" w:lineRule="auto"/>
    </w:pPr>
    <w:rPr>
      <w:rFonts w:ascii="Arial" w:eastAsia="Times New Roman" w:hAnsi="Arial" w:cs="Arial"/>
      <w:color w:val="548DD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CRP-Footnote Reference,MIP Footnote Reference"/>
    <w:semiHidden/>
    <w:rsid w:val="00F55631"/>
    <w:rPr>
      <w:rFonts w:ascii="Arial" w:hAnsi="Arial"/>
      <w:w w:val="100"/>
      <w:sz w:val="16"/>
      <w:vertAlign w:val="superscript"/>
    </w:rPr>
  </w:style>
  <w:style w:type="paragraph" w:styleId="FootnoteText">
    <w:name w:val="footnote text"/>
    <w:aliases w:val="ft,Footnote Text Char Char Char,Footnote Text Char Char,Footnote Text Char1,ft Char,Footnote Text Char2,Footnote Text Char1 Char,ft Char Char,ft Char1,Footnote Text Char Char1 Char,Tailored Footnote,MCS(A) Footnote Text"/>
    <w:basedOn w:val="Normal"/>
    <w:link w:val="FootnoteTextChar3"/>
    <w:semiHidden/>
    <w:rsid w:val="00F55631"/>
    <w:rPr>
      <w:rFonts w:eastAsia="Times"/>
      <w:sz w:val="16"/>
      <w:szCs w:val="20"/>
      <w:lang w:eastAsia="zh-CN"/>
    </w:rPr>
  </w:style>
  <w:style w:type="character" w:customStyle="1" w:styleId="FootnoteTextChar">
    <w:name w:val="Footnote Text Char"/>
    <w:basedOn w:val="DefaultParagraphFont"/>
    <w:uiPriority w:val="99"/>
    <w:semiHidden/>
    <w:rsid w:val="00F55631"/>
    <w:rPr>
      <w:rFonts w:ascii="Arial" w:eastAsia="Times New Roman" w:hAnsi="Arial" w:cs="Arial"/>
      <w:color w:val="548DD4"/>
      <w:sz w:val="20"/>
      <w:szCs w:val="20"/>
      <w:lang w:eastAsia="en-GB"/>
    </w:rPr>
  </w:style>
  <w:style w:type="paragraph" w:styleId="ListParagraph">
    <w:name w:val="List Paragraph"/>
    <w:basedOn w:val="Normal"/>
    <w:uiPriority w:val="34"/>
    <w:qFormat/>
    <w:rsid w:val="00F55631"/>
    <w:pPr>
      <w:widowControl w:val="0"/>
    </w:pPr>
    <w:rPr>
      <w:rFonts w:ascii="Calibri" w:hAnsi="Calibri"/>
      <w:lang w:val="en-US" w:eastAsia="en-US"/>
    </w:rPr>
  </w:style>
  <w:style w:type="character" w:customStyle="1" w:styleId="FootnoteTextChar3">
    <w:name w:val="Footnote Text Char3"/>
    <w:aliases w:val="ft Char2,Footnote Text Char Char Char Char,Footnote Text Char Char Char1,Footnote Text Char1 Char1,ft Char Char1,Footnote Text Char2 Char,Footnote Text Char1 Char Char,ft Char Char Char,ft Char1 Char,Tailored Footnote Char"/>
    <w:link w:val="FootnoteText"/>
    <w:semiHidden/>
    <w:rsid w:val="00F55631"/>
    <w:rPr>
      <w:rFonts w:ascii="Arial" w:eastAsia="Times" w:hAnsi="Arial" w:cs="Arial"/>
      <w:color w:val="548DD4"/>
      <w:sz w:val="16"/>
      <w:szCs w:val="20"/>
      <w:lang w:eastAsia="zh-CN"/>
    </w:rPr>
  </w:style>
  <w:style w:type="paragraph" w:customStyle="1" w:styleId="Body1">
    <w:name w:val="Body 1"/>
    <w:rsid w:val="00F55631"/>
    <w:pPr>
      <w:spacing w:after="0" w:line="240" w:lineRule="auto"/>
      <w:outlineLvl w:val="0"/>
    </w:pPr>
    <w:rPr>
      <w:rFonts w:ascii="Arial" w:eastAsia="Arial Unicode MS" w:hAnsi="Arial" w:cs="Times New Roman"/>
      <w:color w:val="000000"/>
      <w:kern w:val="22"/>
      <w:szCs w:val="20"/>
      <w:u w:color="000000"/>
      <w:lang w:eastAsia="en-GB"/>
    </w:rPr>
  </w:style>
  <w:style w:type="paragraph" w:styleId="Caption">
    <w:name w:val="caption"/>
    <w:basedOn w:val="Normal"/>
    <w:next w:val="Normal"/>
    <w:uiPriority w:val="35"/>
    <w:unhideWhenUsed/>
    <w:qFormat/>
    <w:rsid w:val="00F55631"/>
    <w:pPr>
      <w:spacing w:after="200"/>
    </w:pPr>
    <w:rPr>
      <w:i/>
      <w:iCs/>
      <w:color w:val="44546A"/>
      <w:sz w:val="18"/>
      <w:szCs w:val="18"/>
    </w:rPr>
  </w:style>
  <w:style w:type="paragraph" w:styleId="Header">
    <w:name w:val="header"/>
    <w:basedOn w:val="Normal"/>
    <w:link w:val="HeaderChar"/>
    <w:uiPriority w:val="99"/>
    <w:unhideWhenUsed/>
    <w:rsid w:val="00BD35A7"/>
    <w:pPr>
      <w:tabs>
        <w:tab w:val="center" w:pos="4513"/>
        <w:tab w:val="right" w:pos="9026"/>
      </w:tabs>
    </w:pPr>
  </w:style>
  <w:style w:type="character" w:customStyle="1" w:styleId="HeaderChar">
    <w:name w:val="Header Char"/>
    <w:basedOn w:val="DefaultParagraphFont"/>
    <w:link w:val="Header"/>
    <w:uiPriority w:val="99"/>
    <w:rsid w:val="00BD35A7"/>
    <w:rPr>
      <w:rFonts w:ascii="Arial" w:eastAsia="Times New Roman" w:hAnsi="Arial" w:cs="Arial"/>
      <w:color w:val="548DD4"/>
      <w:lang w:eastAsia="en-GB"/>
    </w:rPr>
  </w:style>
  <w:style w:type="paragraph" w:styleId="Footer">
    <w:name w:val="footer"/>
    <w:basedOn w:val="Normal"/>
    <w:link w:val="FooterChar"/>
    <w:uiPriority w:val="99"/>
    <w:unhideWhenUsed/>
    <w:rsid w:val="00BD35A7"/>
    <w:pPr>
      <w:tabs>
        <w:tab w:val="center" w:pos="4513"/>
        <w:tab w:val="right" w:pos="9026"/>
      </w:tabs>
    </w:pPr>
  </w:style>
  <w:style w:type="character" w:customStyle="1" w:styleId="FooterChar">
    <w:name w:val="Footer Char"/>
    <w:basedOn w:val="DefaultParagraphFont"/>
    <w:link w:val="Footer"/>
    <w:uiPriority w:val="99"/>
    <w:rsid w:val="00BD35A7"/>
    <w:rPr>
      <w:rFonts w:ascii="Arial" w:eastAsia="Times New Roman" w:hAnsi="Arial" w:cs="Arial"/>
      <w:color w:val="548DD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1059</Words>
  <Characters>6038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2017-11-08T09:28:00Z</dcterms:created>
  <dcterms:modified xsi:type="dcterms:W3CDTF">2017-11-08T09:29:00Z</dcterms:modified>
</cp:coreProperties>
</file>